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44"/>
          <w:szCs w:val="44"/>
          <w:lang w:val="zh-CN"/>
        </w:rPr>
      </w:pPr>
    </w:p>
    <w:p>
      <w:pPr>
        <w:spacing w:before="100" w:beforeLines="0" w:after="100" w:afterLines="0"/>
        <w:jc w:val="center"/>
        <w:rPr>
          <w:rFonts w:hint="eastAsia" w:ascii="宋体" w:hAnsi="宋体"/>
          <w:b/>
          <w:bCs/>
          <w:sz w:val="44"/>
          <w:szCs w:val="44"/>
          <w:lang w:val="zh-CN"/>
        </w:rPr>
      </w:pPr>
      <w:bookmarkStart w:id="0" w:name="_GoBack"/>
      <w:r>
        <w:rPr>
          <w:rFonts w:hint="eastAsia" w:ascii="宋体" w:hAnsi="宋体"/>
          <w:b/>
          <w:bCs/>
          <w:sz w:val="44"/>
          <w:szCs w:val="44"/>
          <w:lang w:val="zh-CN"/>
        </w:rPr>
        <w:t>2022年度</w:t>
      </w:r>
    </w:p>
    <w:p>
      <w:pPr>
        <w:spacing w:before="100" w:beforeLines="0" w:after="100" w:afterLines="0"/>
        <w:jc w:val="center"/>
        <w:rPr>
          <w:rFonts w:hint="eastAsia" w:ascii="宋体" w:hAnsi="宋体"/>
          <w:b/>
          <w:bCs/>
          <w:sz w:val="44"/>
          <w:szCs w:val="44"/>
          <w:lang w:val="zh-CN"/>
        </w:rPr>
      </w:pPr>
      <w:r>
        <w:rPr>
          <w:rFonts w:hint="eastAsia" w:ascii="宋体" w:hAnsi="宋体"/>
          <w:b/>
          <w:bCs/>
          <w:sz w:val="44"/>
          <w:szCs w:val="44"/>
          <w:lang w:val="zh-CN"/>
        </w:rPr>
        <w:t>甘肃省卫生健康宣传教育中心部门决算</w:t>
      </w:r>
    </w:p>
    <w:p>
      <w:pPr>
        <w:spacing w:before="100" w:beforeLines="0" w:after="100" w:afterLines="0"/>
        <w:jc w:val="center"/>
        <w:rPr>
          <w:rFonts w:hint="default" w:ascii="宋体" w:hAnsi="宋体" w:eastAsia="宋体"/>
          <w:b/>
          <w:bCs/>
          <w:sz w:val="44"/>
          <w:szCs w:val="44"/>
          <w:lang w:val="en-US" w:eastAsia="zh-CN"/>
        </w:rPr>
      </w:pPr>
      <w:r>
        <w:rPr>
          <w:rFonts w:hint="eastAsia" w:ascii="宋体" w:hAnsi="宋体"/>
          <w:b/>
          <w:bCs/>
          <w:sz w:val="44"/>
          <w:szCs w:val="44"/>
          <w:lang w:val="en-US" w:eastAsia="zh-CN"/>
        </w:rPr>
        <w:t>情况说明</w:t>
      </w:r>
    </w:p>
    <w:bookmarkEnd w:id="0"/>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仿宋" w:hAnsi="仿宋" w:eastAsia="仿宋" w:cs="仿宋"/>
          <w:sz w:val="32"/>
          <w:szCs w:val="32"/>
          <w:lang w:val="zh-CN"/>
        </w:rPr>
      </w:pPr>
      <w:r>
        <w:rPr>
          <w:rFonts w:hint="eastAsia" w:ascii="仿宋" w:hAnsi="仿宋" w:eastAsia="仿宋" w:cs="仿宋"/>
          <w:b/>
          <w:sz w:val="32"/>
          <w:szCs w:val="32"/>
          <w:lang w:val="zh-CN"/>
        </w:rPr>
        <w:t>目录</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b/>
          <w:sz w:val="32"/>
          <w:szCs w:val="32"/>
          <w:lang w:val="zh-CN"/>
        </w:rPr>
        <w:t>第一部分部门概况</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一、部门职责</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二、机构设置</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b/>
          <w:sz w:val="32"/>
          <w:szCs w:val="32"/>
          <w:lang w:val="zh-CN"/>
        </w:rPr>
        <w:t>第二部分2022年度部门决算表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一、收入支出决算总表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二、收入决算表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三、支出决算表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四、财政拨款收入支出决算总表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五、一般公共预算财政拨款支出决算表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六、一般公共预算财政拨款基本支出决算明细表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七、政府性基金预算财政拨款收入支出决算表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八、国有资本经营预算财政拨款支出决算表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九、财政拨款“三公”经费支出决算表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b/>
          <w:sz w:val="32"/>
          <w:szCs w:val="32"/>
          <w:lang w:val="zh-CN"/>
        </w:rPr>
        <w:t>第三部分2022年度部门决算情况说明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一、收入支出决算总体情况说明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二、收入决算情况说明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三、支出决算情况说明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四、财政拨款收入支出决算总体情况说明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五、一般公共预算财政拨款支出决算情况说明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六、一般公共预算财政拨款基本支出决算情况说明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七、机关运行经费支出情况说明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八、政府采购支出情况说明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九、国有资产占用情况说明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十、政府性基金预算财政拨款收支决算情况说明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十一、国有资本经营预算财政拨款支出情况说明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十二、财政拨款“三公”经费支出决算情况说明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b/>
          <w:sz w:val="32"/>
          <w:szCs w:val="32"/>
          <w:lang w:val="zh-CN"/>
        </w:rPr>
        <w:t>第四部分预算绩效情况说明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b/>
          <w:sz w:val="32"/>
          <w:szCs w:val="32"/>
          <w:lang w:val="zh-CN"/>
        </w:rPr>
        <w:t>第五部分名词解释</w:t>
      </w: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r>
        <w:rPr>
          <w:rFonts w:hint="eastAsia" w:ascii="仿宋" w:hAnsi="仿宋" w:eastAsia="仿宋" w:cs="仿宋"/>
          <w:b/>
          <w:sz w:val="32"/>
          <w:szCs w:val="32"/>
          <w:lang w:val="zh-CN"/>
        </w:rPr>
        <w:t>第一部分部门概况</w:t>
      </w:r>
    </w:p>
    <w:p>
      <w:pPr>
        <w:spacing w:before="100" w:beforeLines="0" w:after="100" w:afterLines="0"/>
        <w:ind w:firstLine="640" w:firstLineChars="200"/>
        <w:jc w:val="left"/>
        <w:rPr>
          <w:rFonts w:hint="eastAsia" w:ascii="仿宋" w:hAnsi="仿宋" w:eastAsia="仿宋" w:cs="仿宋"/>
          <w:sz w:val="32"/>
          <w:szCs w:val="32"/>
          <w:lang w:val="zh-CN"/>
        </w:rPr>
      </w:pPr>
      <w:r>
        <w:rPr>
          <w:rFonts w:hint="eastAsia" w:ascii="仿宋" w:hAnsi="仿宋" w:eastAsia="仿宋" w:cs="仿宋"/>
          <w:sz w:val="32"/>
          <w:szCs w:val="32"/>
          <w:lang w:val="zh-CN"/>
        </w:rPr>
        <w:t>一、部门职责</w:t>
      </w:r>
    </w:p>
    <w:p>
      <w:pPr>
        <w:spacing w:before="100" w:beforeLines="0" w:after="100" w:afterLines="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负责全省健康教育与健康促进、卫生计生新闻宣传工作的技术指导，参与制定规划、计划和考核评估标准，并进行监督评估；承担全省健康教育与卫生计生新闻宣传大型活动的组织实施及业务培训等工作；开展健康教育与健康促进、卫生计生新闻宣传领域的理论、方法与策略的研究，向全社会推广健康促进与健康教育适宜技术；开展健康传播活动；开展健康危险因素和健康素养监测，及时发布监测与评估结果。</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二、机构设置</w:t>
      </w:r>
    </w:p>
    <w:p>
      <w:pPr>
        <w:pStyle w:val="5"/>
        <w:keepNext w:val="0"/>
        <w:keepLines w:val="0"/>
        <w:widowControl/>
        <w:suppressLineNumbers w:val="0"/>
        <w:spacing w:before="0" w:beforeAutospacing="0"/>
        <w:ind w:left="0" w:firstLine="640" w:firstLineChars="200"/>
        <w:jc w:val="left"/>
        <w:rPr>
          <w:rFonts w:hint="eastAsia" w:ascii="仿宋" w:hAnsi="仿宋" w:eastAsia="仿宋" w:cs="仿宋"/>
          <w:color w:val="auto"/>
          <w:sz w:val="32"/>
          <w:szCs w:val="32"/>
          <w:lang w:val="zh-CN"/>
        </w:rPr>
      </w:pPr>
      <w:r>
        <w:rPr>
          <w:rFonts w:hint="eastAsia" w:ascii="仿宋" w:hAnsi="仿宋" w:eastAsia="仿宋" w:cs="仿宋"/>
          <w:kern w:val="0"/>
          <w:sz w:val="32"/>
          <w:szCs w:val="32"/>
          <w:shd w:val="clear" w:color="auto" w:fill="FFFFFF"/>
        </w:rPr>
        <w:t>根据职责，甘肃省卫生健康宣传教育中心内设综合办公室、宣传科、健康促进与教育科、继续教育科等4个科室。</w:t>
      </w:r>
    </w:p>
    <w:p>
      <w:pPr>
        <w:spacing w:before="100" w:beforeLines="0" w:after="100" w:afterLines="0"/>
        <w:jc w:val="center"/>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第二部分2022年度部门决算表</w:t>
      </w:r>
    </w:p>
    <w:p>
      <w:pPr>
        <w:numPr>
          <w:ilvl w:val="0"/>
          <w:numId w:val="1"/>
        </w:num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CN"/>
        </w:rPr>
        <w:t>收入支出决算总表</w:t>
      </w:r>
      <w:r>
        <w:rPr>
          <w:rFonts w:hint="eastAsia" w:ascii="仿宋" w:hAnsi="仿宋" w:eastAsia="仿宋" w:cs="仿宋"/>
          <w:color w:val="auto"/>
          <w:sz w:val="32"/>
          <w:szCs w:val="32"/>
          <w:lang w:val="en-US" w:eastAsia="zh-CN"/>
        </w:rPr>
        <w:t xml:space="preserve"> </w:t>
      </w:r>
      <w:r>
        <w:drawing>
          <wp:inline distT="0" distB="0" distL="114300" distR="114300">
            <wp:extent cx="5482590" cy="4466590"/>
            <wp:effectExtent l="0" t="0" r="381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82590" cy="4466590"/>
                    </a:xfrm>
                    <a:prstGeom prst="rect">
                      <a:avLst/>
                    </a:prstGeom>
                    <a:noFill/>
                    <a:ln>
                      <a:noFill/>
                    </a:ln>
                  </pic:spPr>
                </pic:pic>
              </a:graphicData>
            </a:graphic>
          </wp:inline>
        </w:drawing>
      </w:r>
    </w:p>
    <w:p>
      <w:pPr>
        <w:numPr>
          <w:ilvl w:val="0"/>
          <w:numId w:val="1"/>
        </w:numPr>
        <w:spacing w:before="100" w:beforeLines="0" w:after="100" w:afterLines="0"/>
        <w:ind w:left="0" w:leftChars="0" w:firstLine="0" w:firstLineChar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收入决算表</w:t>
      </w:r>
      <w:r>
        <w:drawing>
          <wp:inline distT="0" distB="0" distL="114300" distR="114300">
            <wp:extent cx="5478145" cy="2929255"/>
            <wp:effectExtent l="0" t="0" r="825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478145" cy="2929255"/>
                    </a:xfrm>
                    <a:prstGeom prst="rect">
                      <a:avLst/>
                    </a:prstGeom>
                    <a:noFill/>
                    <a:ln>
                      <a:noFill/>
                    </a:ln>
                  </pic:spPr>
                </pic:pic>
              </a:graphicData>
            </a:graphic>
          </wp:inline>
        </w:drawing>
      </w:r>
      <w:r>
        <w:rPr>
          <w:rFonts w:hint="eastAsia" w:ascii="仿宋" w:hAnsi="仿宋" w:eastAsia="仿宋" w:cs="仿宋"/>
          <w:color w:val="auto"/>
          <w:sz w:val="32"/>
          <w:szCs w:val="32"/>
          <w:lang w:val="en-US" w:eastAsia="zh-CN"/>
        </w:rPr>
        <w:t xml:space="preserve">  </w:t>
      </w:r>
    </w:p>
    <w:p>
      <w:pPr>
        <w:numPr>
          <w:ilvl w:val="0"/>
          <w:numId w:val="1"/>
        </w:numPr>
        <w:spacing w:before="100" w:beforeLines="0" w:after="100" w:afterLines="0"/>
        <w:ind w:left="0" w:leftChars="0" w:firstLine="0" w:firstLineChars="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CN"/>
        </w:rPr>
        <w:t>支出决算表</w:t>
      </w:r>
      <w:r>
        <w:rPr>
          <w:rFonts w:hint="eastAsia" w:ascii="仿宋" w:hAnsi="仿宋" w:eastAsia="仿宋" w:cs="仿宋"/>
          <w:color w:val="auto"/>
          <w:sz w:val="32"/>
          <w:szCs w:val="32"/>
          <w:lang w:val="en-US" w:eastAsia="zh-CN"/>
        </w:rPr>
        <w:t xml:space="preserve"> </w:t>
      </w:r>
    </w:p>
    <w:p>
      <w:pPr>
        <w:numPr>
          <w:ilvl w:val="0"/>
          <w:numId w:val="0"/>
        </w:numPr>
        <w:spacing w:before="100" w:beforeLines="0" w:after="100" w:afterLines="0"/>
        <w:ind w:leftChars="0"/>
        <w:jc w:val="left"/>
        <w:rPr>
          <w:rFonts w:hint="eastAsia" w:ascii="仿宋" w:hAnsi="仿宋" w:eastAsia="仿宋" w:cs="仿宋"/>
          <w:color w:val="auto"/>
          <w:sz w:val="32"/>
          <w:szCs w:val="32"/>
          <w:lang w:val="en-US" w:eastAsia="zh-CN"/>
        </w:rPr>
      </w:pPr>
      <w:r>
        <w:drawing>
          <wp:inline distT="0" distB="0" distL="114300" distR="114300">
            <wp:extent cx="5485765" cy="3058795"/>
            <wp:effectExtent l="0" t="0" r="63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485765" cy="3058795"/>
                    </a:xfrm>
                    <a:prstGeom prst="rect">
                      <a:avLst/>
                    </a:prstGeom>
                    <a:noFill/>
                    <a:ln>
                      <a:noFill/>
                    </a:ln>
                  </pic:spPr>
                </pic:pic>
              </a:graphicData>
            </a:graphic>
          </wp:inline>
        </w:drawing>
      </w:r>
    </w:p>
    <w:p>
      <w:pPr>
        <w:numPr>
          <w:ilvl w:val="0"/>
          <w:numId w:val="1"/>
        </w:numPr>
        <w:spacing w:before="100" w:beforeLines="0" w:after="100" w:afterLines="0"/>
        <w:ind w:left="0" w:leftChars="0" w:firstLine="0" w:firstLineChars="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CN"/>
        </w:rPr>
        <w:t>财政拨款收入支出决算总表</w:t>
      </w:r>
      <w:r>
        <w:rPr>
          <w:rFonts w:hint="eastAsia" w:ascii="仿宋" w:hAnsi="仿宋" w:eastAsia="仿宋" w:cs="仿宋"/>
          <w:color w:val="auto"/>
          <w:sz w:val="32"/>
          <w:szCs w:val="32"/>
          <w:lang w:val="en-US" w:eastAsia="zh-CN"/>
        </w:rPr>
        <w:t xml:space="preserve"> </w:t>
      </w:r>
    </w:p>
    <w:p>
      <w:pPr>
        <w:numPr>
          <w:ilvl w:val="0"/>
          <w:numId w:val="0"/>
        </w:numPr>
        <w:spacing w:before="100" w:beforeLines="0" w:after="100" w:afterLines="0"/>
        <w:ind w:leftChars="0"/>
        <w:jc w:val="left"/>
        <w:rPr>
          <w:rFonts w:hint="eastAsia" w:ascii="仿宋" w:hAnsi="仿宋" w:eastAsia="仿宋" w:cs="仿宋"/>
          <w:color w:val="auto"/>
          <w:sz w:val="32"/>
          <w:szCs w:val="32"/>
          <w:lang w:val="en-US" w:eastAsia="zh-CN"/>
        </w:rPr>
      </w:pPr>
      <w:r>
        <w:drawing>
          <wp:inline distT="0" distB="0" distL="114300" distR="114300">
            <wp:extent cx="5483225" cy="3982085"/>
            <wp:effectExtent l="0" t="0" r="3175"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483225" cy="3982085"/>
                    </a:xfrm>
                    <a:prstGeom prst="rect">
                      <a:avLst/>
                    </a:prstGeom>
                    <a:noFill/>
                    <a:ln>
                      <a:noFill/>
                    </a:ln>
                  </pic:spPr>
                </pic:pic>
              </a:graphicData>
            </a:graphic>
          </wp:inline>
        </w:drawing>
      </w:r>
    </w:p>
    <w:p>
      <w:pPr>
        <w:numPr>
          <w:ilvl w:val="0"/>
          <w:numId w:val="1"/>
        </w:numPr>
        <w:spacing w:before="100" w:beforeLines="0" w:after="100" w:afterLines="0"/>
        <w:ind w:left="0" w:leftChars="0" w:firstLine="0" w:firstLineChar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一般公共预算财政拨款支出决算表</w:t>
      </w:r>
    </w:p>
    <w:p>
      <w:pPr>
        <w:numPr>
          <w:ilvl w:val="0"/>
          <w:numId w:val="0"/>
        </w:numPr>
        <w:spacing w:before="100" w:beforeLines="0" w:after="100" w:afterLines="0"/>
        <w:ind w:leftChars="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drawing>
          <wp:inline distT="0" distB="0" distL="114300" distR="114300">
            <wp:extent cx="5483225" cy="4385310"/>
            <wp:effectExtent l="0" t="0" r="3175" b="152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483225" cy="4385310"/>
                    </a:xfrm>
                    <a:prstGeom prst="rect">
                      <a:avLst/>
                    </a:prstGeom>
                    <a:noFill/>
                    <a:ln>
                      <a:noFill/>
                    </a:ln>
                  </pic:spPr>
                </pic:pic>
              </a:graphicData>
            </a:graphic>
          </wp:inline>
        </w:drawing>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六、一般公共预算财政拨款基本支出决算明细表</w:t>
      </w:r>
    </w:p>
    <w:p>
      <w:pPr>
        <w:spacing w:before="100" w:beforeLines="0" w:after="100" w:afterLines="0"/>
        <w:jc w:val="left"/>
        <w:rPr>
          <w:rFonts w:hint="eastAsia" w:ascii="仿宋" w:hAnsi="仿宋" w:eastAsia="仿宋" w:cs="仿宋"/>
          <w:color w:val="auto"/>
          <w:sz w:val="32"/>
          <w:szCs w:val="32"/>
          <w:lang w:val="zh-CN"/>
        </w:rPr>
      </w:pPr>
      <w:r>
        <w:drawing>
          <wp:inline distT="0" distB="0" distL="114300" distR="114300">
            <wp:extent cx="5478780" cy="3142615"/>
            <wp:effectExtent l="0" t="0" r="762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478780" cy="3142615"/>
                    </a:xfrm>
                    <a:prstGeom prst="rect">
                      <a:avLst/>
                    </a:prstGeom>
                    <a:noFill/>
                    <a:ln>
                      <a:noFill/>
                    </a:ln>
                  </pic:spPr>
                </pic:pic>
              </a:graphicData>
            </a:graphic>
          </wp:inline>
        </w:drawing>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七、政府性基金预算财政拨款收入支出决算表</w:t>
      </w:r>
    </w:p>
    <w:p>
      <w:pPr>
        <w:spacing w:before="100" w:beforeLines="0" w:after="100" w:afterLines="0"/>
        <w:jc w:val="left"/>
        <w:rPr>
          <w:rFonts w:hint="eastAsia" w:ascii="仿宋" w:hAnsi="仿宋" w:eastAsia="仿宋" w:cs="仿宋"/>
          <w:color w:val="auto"/>
          <w:sz w:val="32"/>
          <w:szCs w:val="32"/>
          <w:lang w:val="zh-CN"/>
        </w:rPr>
      </w:pPr>
      <w:r>
        <w:drawing>
          <wp:inline distT="0" distB="0" distL="114300" distR="114300">
            <wp:extent cx="5482590" cy="1122680"/>
            <wp:effectExtent l="0" t="0" r="381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482590" cy="1122680"/>
                    </a:xfrm>
                    <a:prstGeom prst="rect">
                      <a:avLst/>
                    </a:prstGeom>
                    <a:noFill/>
                    <a:ln>
                      <a:noFill/>
                    </a:ln>
                  </pic:spPr>
                </pic:pic>
              </a:graphicData>
            </a:graphic>
          </wp:inline>
        </w:drawing>
      </w:r>
    </w:p>
    <w:p>
      <w:p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CN"/>
        </w:rPr>
        <w:t>备注：本部门没有相关数据,故本表无数据。</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八、国有资本经营预算财政拨款支出决算表</w:t>
      </w:r>
    </w:p>
    <w:p>
      <w:pPr>
        <w:spacing w:before="100" w:beforeLines="0" w:after="100" w:afterLines="0"/>
        <w:jc w:val="left"/>
        <w:rPr>
          <w:rFonts w:hint="eastAsia" w:ascii="仿宋" w:hAnsi="仿宋" w:eastAsia="仿宋" w:cs="仿宋"/>
          <w:color w:val="auto"/>
          <w:sz w:val="32"/>
          <w:szCs w:val="32"/>
          <w:lang w:val="zh-CN"/>
        </w:rPr>
      </w:pPr>
      <w:r>
        <w:drawing>
          <wp:inline distT="0" distB="0" distL="114300" distR="114300">
            <wp:extent cx="5485130" cy="1374775"/>
            <wp:effectExtent l="0" t="0" r="1270" b="158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485130" cy="1374775"/>
                    </a:xfrm>
                    <a:prstGeom prst="rect">
                      <a:avLst/>
                    </a:prstGeom>
                    <a:noFill/>
                    <a:ln>
                      <a:noFill/>
                    </a:ln>
                  </pic:spPr>
                </pic:pic>
              </a:graphicData>
            </a:graphic>
          </wp:inline>
        </w:drawing>
      </w:r>
      <w:r>
        <w:rPr>
          <w:rFonts w:hint="eastAsia" w:ascii="仿宋" w:hAnsi="仿宋" w:eastAsia="仿宋" w:cs="仿宋"/>
          <w:color w:val="auto"/>
          <w:sz w:val="32"/>
          <w:szCs w:val="32"/>
          <w:lang w:val="zh-CN"/>
        </w:rPr>
        <w:t>备注：本部门没有相关数据,故本表无数据。</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九、财政拨款“三公”经费支出决算表</w:t>
      </w:r>
    </w:p>
    <w:p>
      <w:pPr>
        <w:spacing w:before="100" w:beforeLines="0" w:after="100" w:afterLines="0"/>
        <w:jc w:val="left"/>
        <w:rPr>
          <w:rFonts w:hint="eastAsia" w:ascii="仿宋" w:hAnsi="仿宋" w:eastAsia="仿宋" w:cs="仿宋"/>
          <w:color w:val="FF0000"/>
          <w:sz w:val="32"/>
          <w:szCs w:val="32"/>
          <w:lang w:val="zh-CN"/>
        </w:rPr>
      </w:pPr>
      <w:r>
        <w:drawing>
          <wp:inline distT="0" distB="0" distL="114300" distR="114300">
            <wp:extent cx="5484495" cy="1044575"/>
            <wp:effectExtent l="0" t="0" r="1905"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484495" cy="1044575"/>
                    </a:xfrm>
                    <a:prstGeom prst="rect">
                      <a:avLst/>
                    </a:prstGeom>
                    <a:noFill/>
                    <a:ln>
                      <a:noFill/>
                    </a:ln>
                  </pic:spPr>
                </pic:pic>
              </a:graphicData>
            </a:graphic>
          </wp:inline>
        </w:drawing>
      </w:r>
    </w:p>
    <w:p>
      <w:pPr>
        <w:spacing w:before="100" w:beforeLines="0" w:after="100" w:afterLines="0"/>
        <w:jc w:val="left"/>
        <w:rPr>
          <w:rFonts w:hint="eastAsia" w:ascii="仿宋" w:hAnsi="仿宋" w:eastAsia="仿宋" w:cs="仿宋"/>
          <w:color w:val="auto"/>
          <w:sz w:val="32"/>
          <w:szCs w:val="32"/>
          <w:lang w:val="zh-CN"/>
        </w:rPr>
      </w:pPr>
    </w:p>
    <w:p>
      <w:pPr>
        <w:spacing w:before="100" w:beforeLines="0" w:after="100" w:afterLines="0"/>
        <w:jc w:val="center"/>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第三部分2022年度部门决算情况说明</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一、收入支出决算总体情况说明</w:t>
      </w:r>
    </w:p>
    <w:p>
      <w:pPr>
        <w:spacing w:before="100" w:beforeLines="0" w:after="100" w:afterLines="0"/>
        <w:ind w:firstLine="640" w:firstLineChars="200"/>
        <w:jc w:val="left"/>
        <w:rPr>
          <w:rFonts w:hint="eastAsia" w:ascii="仿宋" w:hAnsi="仿宋" w:eastAsia="仿宋" w:cs="仿宋"/>
          <w:color w:val="FF0000"/>
          <w:sz w:val="32"/>
          <w:szCs w:val="32"/>
          <w:lang w:val="zh-CN"/>
        </w:rPr>
      </w:pPr>
      <w:r>
        <w:rPr>
          <w:rFonts w:hint="eastAsia" w:ascii="仿宋" w:hAnsi="仿宋" w:eastAsia="仿宋" w:cs="仿宋"/>
          <w:color w:val="auto"/>
          <w:sz w:val="32"/>
          <w:szCs w:val="32"/>
          <w:lang w:val="zh-CN"/>
        </w:rPr>
        <w:t>2022年度收、支总计</w:t>
      </w:r>
      <w:r>
        <w:rPr>
          <w:rFonts w:hint="eastAsia" w:ascii="仿宋" w:hAnsi="仿宋" w:eastAsia="仿宋" w:cs="仿宋"/>
          <w:color w:val="auto"/>
          <w:sz w:val="32"/>
          <w:szCs w:val="32"/>
          <w:lang w:val="en-US"/>
        </w:rPr>
        <w:t>均为</w:t>
      </w:r>
      <w:r>
        <w:rPr>
          <w:rFonts w:hint="eastAsia" w:ascii="仿宋" w:hAnsi="仿宋" w:eastAsia="仿宋" w:cs="仿宋"/>
          <w:color w:val="auto"/>
          <w:sz w:val="32"/>
          <w:szCs w:val="32"/>
          <w:lang w:val="zh-CN"/>
        </w:rPr>
        <w:t>998.19万元。</w:t>
      </w:r>
      <w:r>
        <w:rPr>
          <w:rFonts w:hint="eastAsia" w:ascii="仿宋" w:hAnsi="仿宋" w:eastAsia="仿宋" w:cs="仿宋"/>
          <w:color w:val="auto"/>
          <w:sz w:val="32"/>
          <w:szCs w:val="32"/>
          <w:lang w:val="en-US"/>
        </w:rPr>
        <w:t>与上年度相比,</w:t>
      </w:r>
      <w:r>
        <w:rPr>
          <w:rFonts w:hint="eastAsia" w:ascii="仿宋" w:hAnsi="仿宋" w:eastAsia="仿宋" w:cs="仿宋"/>
          <w:color w:val="auto"/>
          <w:sz w:val="32"/>
          <w:szCs w:val="32"/>
          <w:lang w:val="zh-CN"/>
        </w:rPr>
        <w:t>收、支</w:t>
      </w:r>
      <w:r>
        <w:rPr>
          <w:rFonts w:hint="eastAsia" w:ascii="仿宋" w:hAnsi="仿宋" w:eastAsia="仿宋" w:cs="仿宋"/>
          <w:color w:val="auto"/>
          <w:sz w:val="32"/>
          <w:szCs w:val="32"/>
          <w:lang w:val="en-US"/>
        </w:rPr>
        <w:t>总计各</w:t>
      </w:r>
      <w:r>
        <w:rPr>
          <w:rFonts w:hint="eastAsia" w:ascii="仿宋" w:hAnsi="仿宋" w:eastAsia="仿宋" w:cs="仿宋"/>
          <w:color w:val="auto"/>
          <w:sz w:val="32"/>
          <w:szCs w:val="32"/>
          <w:lang w:val="zh-CN"/>
        </w:rPr>
        <w:t>减少180.04万元,下降15.28%,主要原因是</w:t>
      </w:r>
      <w:r>
        <w:rPr>
          <w:rFonts w:hint="eastAsia" w:ascii="仿宋" w:hAnsi="仿宋" w:eastAsia="仿宋" w:cs="仿宋"/>
          <w:color w:val="auto"/>
          <w:sz w:val="32"/>
          <w:szCs w:val="32"/>
          <w:lang w:val="en-US" w:eastAsia="zh-CN"/>
        </w:rPr>
        <w:t>财政拨款减少。</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二、收入决算情况说明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2022年度收入合计765.56万元,其中：财政拨款收入765.56万元,占100.00%。</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三、支出决算情况说明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2022年度支出合计740.72万元,其中：基本支出372.40万元,占50.28%；项目支出368.32万元,占49.72%。</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四、财政拨款收入支出决算总体情况说明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2022年度财政拨款收、支总计</w:t>
      </w:r>
      <w:r>
        <w:rPr>
          <w:rFonts w:hint="eastAsia" w:ascii="仿宋" w:hAnsi="仿宋" w:eastAsia="仿宋" w:cs="仿宋"/>
          <w:color w:val="auto"/>
          <w:sz w:val="32"/>
          <w:szCs w:val="32"/>
          <w:lang w:val="en-US"/>
        </w:rPr>
        <w:t>均为</w:t>
      </w:r>
      <w:r>
        <w:rPr>
          <w:rFonts w:hint="eastAsia" w:ascii="仿宋" w:hAnsi="仿宋" w:eastAsia="仿宋" w:cs="仿宋"/>
          <w:color w:val="auto"/>
          <w:sz w:val="32"/>
          <w:szCs w:val="32"/>
          <w:lang w:val="zh-CN"/>
        </w:rPr>
        <w:t>968.68万元。与</w:t>
      </w:r>
      <w:r>
        <w:rPr>
          <w:rFonts w:hint="eastAsia" w:ascii="仿宋" w:hAnsi="仿宋" w:eastAsia="仿宋" w:cs="仿宋"/>
          <w:color w:val="auto"/>
          <w:sz w:val="32"/>
          <w:szCs w:val="32"/>
          <w:lang w:val="en-US"/>
        </w:rPr>
        <w:t>上</w:t>
      </w:r>
      <w:r>
        <w:rPr>
          <w:rFonts w:hint="eastAsia" w:ascii="仿宋" w:hAnsi="仿宋" w:eastAsia="仿宋" w:cs="仿宋"/>
          <w:color w:val="auto"/>
          <w:sz w:val="32"/>
          <w:szCs w:val="32"/>
          <w:lang w:val="zh-CN"/>
        </w:rPr>
        <w:t>年相比,各减少178.32万元,下降15.55%。主要原因是</w:t>
      </w:r>
      <w:r>
        <w:rPr>
          <w:rFonts w:hint="eastAsia" w:ascii="仿宋" w:hAnsi="仿宋" w:eastAsia="仿宋" w:cs="仿宋"/>
          <w:color w:val="auto"/>
          <w:sz w:val="32"/>
          <w:szCs w:val="32"/>
          <w:lang w:val="en-US" w:eastAsia="zh-CN"/>
        </w:rPr>
        <w:t>财政拨款减少。</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五、一般公共预算财政拨款支出决算情况说明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2022年度一般公共预算财政拨款支出740.72万元,较上年决算数减少203.16万元,下降21.52%。主要原因是</w:t>
      </w:r>
      <w:r>
        <w:rPr>
          <w:rFonts w:hint="eastAsia" w:ascii="仿宋" w:hAnsi="仿宋" w:eastAsia="仿宋" w:cs="仿宋"/>
          <w:color w:val="auto"/>
          <w:sz w:val="32"/>
          <w:szCs w:val="32"/>
          <w:lang w:val="en-US" w:eastAsia="zh-CN"/>
        </w:rPr>
        <w:t>财政拨款减少。</w:t>
      </w:r>
    </w:p>
    <w:p>
      <w:pPr>
        <w:spacing w:before="100" w:beforeLines="0" w:after="100" w:afterLines="0"/>
        <w:ind w:firstLine="643" w:firstLineChars="20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1．社会保障和就业支出</w:t>
      </w:r>
      <w:r>
        <w:rPr>
          <w:rFonts w:hint="eastAsia" w:ascii="仿宋" w:hAnsi="仿宋" w:eastAsia="仿宋" w:cs="仿宋"/>
          <w:color w:val="auto"/>
          <w:sz w:val="32"/>
          <w:szCs w:val="32"/>
          <w:lang w:val="zh-CN"/>
        </w:rPr>
        <w:t>年初预算数为28.02万元,支出决算为28.02万元,完成年初预算的100.0%。</w:t>
      </w:r>
    </w:p>
    <w:p>
      <w:pPr>
        <w:spacing w:before="100" w:beforeLines="0" w:after="100" w:afterLines="0"/>
        <w:ind w:firstLine="643" w:firstLineChars="20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2．卫生健康支出</w:t>
      </w:r>
      <w:r>
        <w:rPr>
          <w:rFonts w:hint="eastAsia" w:ascii="仿宋" w:hAnsi="仿宋" w:eastAsia="仿宋" w:cs="仿宋"/>
          <w:color w:val="auto"/>
          <w:sz w:val="32"/>
          <w:szCs w:val="32"/>
          <w:lang w:val="zh-CN"/>
        </w:rPr>
        <w:t>年初预算数为511.06万元,支出决算为687.42万元,完成年初预算的134.51%,决算数大于预算数的主要原因是</w:t>
      </w:r>
      <w:r>
        <w:rPr>
          <w:rFonts w:hint="eastAsia" w:ascii="仿宋" w:hAnsi="仿宋" w:eastAsia="仿宋" w:cs="仿宋"/>
          <w:color w:val="auto"/>
          <w:sz w:val="32"/>
          <w:szCs w:val="32"/>
          <w:lang w:val="en-US" w:eastAsia="zh-CN"/>
        </w:rPr>
        <w:t>财政拨款增加</w:t>
      </w:r>
      <w:r>
        <w:rPr>
          <w:rFonts w:hint="eastAsia" w:ascii="仿宋" w:hAnsi="仿宋" w:eastAsia="仿宋" w:cs="仿宋"/>
          <w:color w:val="auto"/>
          <w:sz w:val="32"/>
          <w:szCs w:val="32"/>
          <w:lang w:val="zh-CN"/>
        </w:rPr>
        <w:t>。</w:t>
      </w:r>
    </w:p>
    <w:p>
      <w:pPr>
        <w:spacing w:before="100" w:beforeLines="0" w:after="100" w:afterLines="0"/>
        <w:ind w:firstLine="643" w:firstLineChars="20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3．住房保障支出</w:t>
      </w:r>
      <w:r>
        <w:rPr>
          <w:rFonts w:hint="eastAsia" w:ascii="仿宋" w:hAnsi="仿宋" w:eastAsia="仿宋" w:cs="仿宋"/>
          <w:color w:val="auto"/>
          <w:sz w:val="32"/>
          <w:szCs w:val="32"/>
          <w:lang w:val="zh-CN"/>
        </w:rPr>
        <w:t>年初预算数为25.28万元,支出决算为25.28万元,完成年初预算的100.0%。</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六、一般公共预算财政拨款基本支出决算情况说明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2022年度一般公共预算财政拨款基本支出372.40万元。其中：</w:t>
      </w:r>
    </w:p>
    <w:p>
      <w:pPr>
        <w:spacing w:before="100" w:beforeLines="0" w:after="100" w:afterLines="0"/>
        <w:ind w:firstLine="643" w:firstLineChars="20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人员经费</w:t>
      </w:r>
      <w:r>
        <w:rPr>
          <w:rFonts w:hint="eastAsia" w:ascii="仿宋" w:hAnsi="仿宋" w:eastAsia="仿宋" w:cs="仿宋"/>
          <w:color w:val="auto"/>
          <w:sz w:val="32"/>
          <w:szCs w:val="32"/>
          <w:lang w:val="zh-CN"/>
        </w:rPr>
        <w:t>338.00万元,较上年决算数增加51.47万元,增长17.96%,主要原因是</w:t>
      </w:r>
      <w:r>
        <w:rPr>
          <w:rFonts w:hint="eastAsia" w:ascii="仿宋" w:hAnsi="仿宋" w:eastAsia="仿宋" w:cs="仿宋"/>
          <w:color w:val="auto"/>
          <w:kern w:val="0"/>
          <w:sz w:val="32"/>
          <w:szCs w:val="32"/>
        </w:rPr>
        <w:t>人员变动及工资调整等</w:t>
      </w:r>
      <w:r>
        <w:rPr>
          <w:rFonts w:hint="eastAsia" w:ascii="仿宋" w:hAnsi="仿宋" w:eastAsia="仿宋" w:cs="仿宋"/>
          <w:color w:val="auto"/>
          <w:sz w:val="32"/>
          <w:szCs w:val="32"/>
          <w:lang w:val="zh-CN"/>
        </w:rPr>
        <w:t>。人员经费用途主要包括</w:t>
      </w:r>
      <w:r>
        <w:rPr>
          <w:rFonts w:hint="eastAsia" w:ascii="仿宋" w:hAnsi="仿宋" w:eastAsia="仿宋" w:cs="仿宋"/>
          <w:color w:val="auto"/>
          <w:kern w:val="0"/>
          <w:sz w:val="32"/>
          <w:szCs w:val="32"/>
        </w:rPr>
        <w:t>基本工资、津贴补贴、其他社会保障缴费、绩效工资、机关事业单位基本养老保险缴费、其他工资福利支出、医疗费补助、奖励金、住房公积金、其他对个人和家庭的补助支出等</w:t>
      </w:r>
      <w:r>
        <w:rPr>
          <w:rFonts w:hint="eastAsia" w:ascii="仿宋" w:hAnsi="仿宋" w:eastAsia="仿宋" w:cs="仿宋"/>
          <w:color w:val="auto"/>
          <w:sz w:val="32"/>
          <w:szCs w:val="32"/>
          <w:lang w:val="zh-CN"/>
        </w:rPr>
        <w:t>。</w:t>
      </w:r>
    </w:p>
    <w:p>
      <w:pPr>
        <w:spacing w:before="100" w:beforeLines="0" w:after="100" w:afterLines="0"/>
        <w:ind w:firstLine="643" w:firstLineChars="20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公用经费</w:t>
      </w:r>
      <w:r>
        <w:rPr>
          <w:rFonts w:hint="eastAsia" w:ascii="仿宋" w:hAnsi="仿宋" w:eastAsia="仿宋" w:cs="仿宋"/>
          <w:color w:val="auto"/>
          <w:sz w:val="32"/>
          <w:szCs w:val="32"/>
          <w:lang w:val="zh-CN"/>
        </w:rPr>
        <w:t>34.40万元,较上年决算数增加4.63万元,增长15.55%,主要原因是</w:t>
      </w:r>
      <w:r>
        <w:rPr>
          <w:rFonts w:hint="eastAsia" w:ascii="仿宋" w:hAnsi="仿宋" w:eastAsia="仿宋" w:cs="仿宋"/>
          <w:color w:val="auto"/>
          <w:kern w:val="0"/>
          <w:sz w:val="32"/>
          <w:szCs w:val="32"/>
        </w:rPr>
        <w:t>人员变动及</w:t>
      </w:r>
      <w:r>
        <w:rPr>
          <w:rFonts w:hint="eastAsia" w:ascii="仿宋" w:hAnsi="仿宋" w:eastAsia="仿宋" w:cs="仿宋"/>
          <w:color w:val="auto"/>
          <w:kern w:val="0"/>
          <w:sz w:val="32"/>
          <w:szCs w:val="32"/>
          <w:lang w:val="en-US" w:eastAsia="zh-CN"/>
        </w:rPr>
        <w:t>财政拨款增加</w:t>
      </w:r>
      <w:r>
        <w:rPr>
          <w:rFonts w:hint="eastAsia" w:ascii="仿宋" w:hAnsi="仿宋" w:eastAsia="仿宋" w:cs="仿宋"/>
          <w:color w:val="auto"/>
          <w:sz w:val="32"/>
          <w:szCs w:val="32"/>
          <w:lang w:val="zh-CN"/>
        </w:rPr>
        <w:t>。公用经费用途主要包括</w:t>
      </w:r>
      <w:r>
        <w:rPr>
          <w:rFonts w:hint="eastAsia" w:ascii="仿宋" w:hAnsi="仿宋" w:eastAsia="仿宋" w:cs="仿宋"/>
          <w:color w:val="auto"/>
          <w:kern w:val="0"/>
          <w:sz w:val="32"/>
          <w:szCs w:val="32"/>
        </w:rPr>
        <w:t>办公费、印刷费、水费、电费、邮电费、取暖费、差旅费、维修 （护）费、培训费、公务接待费、工会经费、福利费、公务用车运行维护费等</w:t>
      </w:r>
      <w:r>
        <w:rPr>
          <w:rFonts w:hint="eastAsia" w:ascii="仿宋" w:hAnsi="仿宋" w:eastAsia="仿宋" w:cs="仿宋"/>
          <w:color w:val="auto"/>
          <w:kern w:val="0"/>
          <w:sz w:val="32"/>
          <w:szCs w:val="32"/>
          <w:shd w:val="clear" w:color="auto" w:fill="FFFFFF"/>
        </w:rPr>
        <w:t>。</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rPr>
        <w:t>七</w:t>
      </w:r>
      <w:r>
        <w:rPr>
          <w:rFonts w:hint="eastAsia" w:ascii="仿宋" w:hAnsi="仿宋" w:eastAsia="仿宋" w:cs="仿宋"/>
          <w:color w:val="auto"/>
          <w:sz w:val="32"/>
          <w:szCs w:val="32"/>
          <w:lang w:val="zh-CN"/>
        </w:rPr>
        <w:t>、机关运行经费支出情况说明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我单位2022年度无机关运行相关经费。</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rPr>
        <w:t>八</w:t>
      </w:r>
      <w:r>
        <w:rPr>
          <w:rFonts w:hint="eastAsia" w:ascii="仿宋" w:hAnsi="仿宋" w:eastAsia="仿宋" w:cs="仿宋"/>
          <w:color w:val="auto"/>
          <w:sz w:val="32"/>
          <w:szCs w:val="32"/>
          <w:lang w:val="zh-CN"/>
        </w:rPr>
        <w:t>、政府采购支出情况说明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我单位2022年度无政府采购相关经费。</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rPr>
        <w:t>九</w:t>
      </w:r>
      <w:r>
        <w:rPr>
          <w:rFonts w:hint="eastAsia" w:ascii="仿宋" w:hAnsi="仿宋" w:eastAsia="仿宋" w:cs="仿宋"/>
          <w:color w:val="auto"/>
          <w:sz w:val="32"/>
          <w:szCs w:val="32"/>
          <w:lang w:val="zh-CN"/>
        </w:rPr>
        <w:t>、国有资产占用情况说明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截至2022年12月31日,本部门共有车辆3辆,其中,机要通信用车1辆、特种专业技术用车2辆。单价100万元(含)以上设备0台(套)。</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十、政府性基金预算财政拨款收支决算情况说明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本部门2022年度无政府性基金收入,也没有使用政府性基金安排的支出。</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十</w:t>
      </w:r>
      <w:r>
        <w:rPr>
          <w:rFonts w:hint="eastAsia" w:ascii="仿宋" w:hAnsi="仿宋" w:eastAsia="仿宋" w:cs="仿宋"/>
          <w:color w:val="auto"/>
          <w:sz w:val="32"/>
          <w:szCs w:val="32"/>
          <w:lang w:val="en-US"/>
        </w:rPr>
        <w:t>一</w:t>
      </w:r>
      <w:r>
        <w:rPr>
          <w:rFonts w:hint="eastAsia" w:ascii="仿宋" w:hAnsi="仿宋" w:eastAsia="仿宋" w:cs="仿宋"/>
          <w:color w:val="auto"/>
          <w:sz w:val="32"/>
          <w:szCs w:val="32"/>
          <w:lang w:val="zh-CN"/>
        </w:rPr>
        <w:t>、国有资本经营预算财政拨款支出情况说明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本部门2022年度没有使用国有资本经营预算安排的支出。</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rPr>
        <w:t>十二</w:t>
      </w:r>
      <w:r>
        <w:rPr>
          <w:rFonts w:hint="eastAsia" w:ascii="仿宋" w:hAnsi="仿宋" w:eastAsia="仿宋" w:cs="仿宋"/>
          <w:color w:val="auto"/>
          <w:sz w:val="32"/>
          <w:szCs w:val="32"/>
          <w:lang w:val="zh-CN"/>
        </w:rPr>
        <w:t>、财政拨款“三公”经费支出决算情况说明</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(一)“三公”经费财政拨款支出总体情况说明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2022年度“三公”经费支出</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预算数为3.23万元,支出决算为1.23万元,决算数小于预算数的主要原因是</w:t>
      </w:r>
      <w:r>
        <w:rPr>
          <w:rFonts w:hint="eastAsia" w:ascii="仿宋" w:hAnsi="仿宋" w:eastAsia="仿宋" w:cs="仿宋"/>
          <w:color w:val="auto"/>
          <w:sz w:val="32"/>
          <w:szCs w:val="32"/>
        </w:rPr>
        <w:t>贯彻落实“过紧日子”精神，严格控制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经费支出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减少1.67</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下降57.72</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rPr>
        <w:t>,主要原因是</w:t>
      </w:r>
      <w:r>
        <w:rPr>
          <w:rFonts w:hint="eastAsia" w:ascii="仿宋" w:hAnsi="仿宋" w:eastAsia="仿宋" w:cs="仿宋"/>
          <w:color w:val="auto"/>
          <w:sz w:val="32"/>
          <w:szCs w:val="32"/>
          <w:lang w:val="en-US" w:eastAsia="zh-CN"/>
        </w:rPr>
        <w:t>受疫情影响及</w:t>
      </w:r>
      <w:r>
        <w:rPr>
          <w:rFonts w:hint="eastAsia" w:ascii="仿宋" w:hAnsi="仿宋" w:eastAsia="仿宋" w:cs="仿宋"/>
          <w:color w:val="auto"/>
          <w:sz w:val="32"/>
          <w:szCs w:val="32"/>
        </w:rPr>
        <w:t>贯彻落实“过紧日子”精神，严格控制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经费支出</w:t>
      </w:r>
      <w:r>
        <w:rPr>
          <w:rFonts w:hint="eastAsia" w:ascii="仿宋" w:hAnsi="仿宋" w:eastAsia="仿宋" w:cs="仿宋"/>
          <w:color w:val="auto"/>
          <w:sz w:val="32"/>
          <w:szCs w:val="32"/>
          <w:lang w:eastAsia="zh-CN"/>
        </w:rPr>
        <w:t>。</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(二)“三公”经费财政拨款支出决算具体情况说明</w:t>
      </w:r>
    </w:p>
    <w:p>
      <w:pPr>
        <w:spacing w:before="100" w:beforeLines="0" w:after="100" w:afterLines="0"/>
        <w:ind w:firstLine="643" w:firstLineChars="200"/>
        <w:jc w:val="left"/>
        <w:rPr>
          <w:rFonts w:hint="eastAsia" w:ascii="仿宋" w:hAnsi="仿宋" w:eastAsia="仿宋" w:cs="仿宋"/>
          <w:color w:val="auto"/>
          <w:sz w:val="32"/>
          <w:szCs w:val="32"/>
          <w:lang w:val="zh-CN" w:eastAsia="zh-CN"/>
        </w:rPr>
      </w:pPr>
      <w:r>
        <w:rPr>
          <w:rFonts w:hint="eastAsia" w:ascii="仿宋" w:hAnsi="仿宋" w:eastAsia="仿宋" w:cs="仿宋"/>
          <w:b/>
          <w:color w:val="auto"/>
          <w:sz w:val="32"/>
          <w:szCs w:val="32"/>
          <w:lang w:val="zh-CN"/>
        </w:rPr>
        <w:t>1.因公出国(境)费用</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预算数为0.00万元,支出决算为0.00万元,</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减少0.0</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eastAsia="zh-CN"/>
        </w:rPr>
        <w:t>。</w:t>
      </w:r>
    </w:p>
    <w:p>
      <w:pPr>
        <w:spacing w:before="100" w:beforeLines="0" w:after="100" w:afterLines="0"/>
        <w:ind w:firstLine="643" w:firstLineChars="20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2.公务用车购置及运行维护费</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预算数为2.94万元,支出决算为1.23万元,决算数小于预算数的主要原因是</w:t>
      </w:r>
      <w:r>
        <w:rPr>
          <w:rFonts w:hint="eastAsia" w:ascii="仿宋" w:hAnsi="仿宋" w:eastAsia="仿宋" w:cs="仿宋"/>
          <w:color w:val="auto"/>
          <w:sz w:val="32"/>
          <w:szCs w:val="32"/>
          <w:lang w:val="en-US" w:eastAsia="zh-CN"/>
        </w:rPr>
        <w:t>受疫情影响及</w:t>
      </w:r>
      <w:r>
        <w:rPr>
          <w:rFonts w:hint="eastAsia" w:ascii="仿宋" w:hAnsi="仿宋" w:eastAsia="仿宋" w:cs="仿宋"/>
          <w:color w:val="auto"/>
          <w:sz w:val="32"/>
          <w:szCs w:val="32"/>
        </w:rPr>
        <w:t>贯彻落实“过紧日子”精神，严格控制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经费支出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减少1.63</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下降57.13</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rPr>
        <w:t>,主要原因是</w:t>
      </w:r>
      <w:r>
        <w:rPr>
          <w:rFonts w:hint="eastAsia" w:ascii="仿宋" w:hAnsi="仿宋" w:eastAsia="仿宋" w:cs="仿宋"/>
          <w:color w:val="auto"/>
          <w:sz w:val="32"/>
          <w:szCs w:val="32"/>
          <w:lang w:val="en-US" w:eastAsia="zh-CN"/>
        </w:rPr>
        <w:t>受疫情影响及</w:t>
      </w:r>
      <w:r>
        <w:rPr>
          <w:rFonts w:hint="eastAsia" w:ascii="仿宋" w:hAnsi="仿宋" w:eastAsia="仿宋" w:cs="仿宋"/>
          <w:color w:val="auto"/>
          <w:sz w:val="32"/>
          <w:szCs w:val="32"/>
        </w:rPr>
        <w:t>贯彻落实“过紧日子”精神，严格控制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经费支出</w:t>
      </w:r>
      <w:r>
        <w:rPr>
          <w:rFonts w:hint="eastAsia" w:ascii="仿宋" w:hAnsi="仿宋" w:eastAsia="仿宋" w:cs="仿宋"/>
          <w:color w:val="auto"/>
          <w:sz w:val="32"/>
          <w:szCs w:val="32"/>
          <w:lang w:eastAsia="zh-CN"/>
        </w:rPr>
        <w:t>。</w:t>
      </w:r>
    </w:p>
    <w:p>
      <w:pPr>
        <w:spacing w:before="100" w:beforeLines="0" w:after="100" w:afterLines="0"/>
        <w:ind w:firstLine="643" w:firstLineChars="20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其中：公务用车购置费</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预算数为0.00万元,支出决算为0.00万元,</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减少0.0</w:t>
      </w:r>
      <w:r>
        <w:rPr>
          <w:rFonts w:hint="eastAsia" w:ascii="仿宋" w:hAnsi="仿宋" w:eastAsia="仿宋" w:cs="仿宋"/>
          <w:color w:val="auto"/>
          <w:sz w:val="32"/>
          <w:szCs w:val="32"/>
          <w:lang w:val="zh-CN"/>
        </w:rPr>
        <w:t>万元。</w:t>
      </w:r>
    </w:p>
    <w:p>
      <w:pPr>
        <w:spacing w:before="100" w:beforeLines="0" w:after="100" w:afterLines="0"/>
        <w:ind w:firstLine="643" w:firstLineChars="20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公务用车运行维护费</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预算数为2.94万元,支出决算为1.23万元,决算数小于预算数的主要原因是</w:t>
      </w:r>
      <w:r>
        <w:rPr>
          <w:rFonts w:hint="eastAsia" w:ascii="仿宋" w:hAnsi="仿宋" w:eastAsia="仿宋" w:cs="仿宋"/>
          <w:color w:val="auto"/>
          <w:sz w:val="32"/>
          <w:szCs w:val="32"/>
          <w:lang w:val="en-US" w:eastAsia="zh-CN"/>
        </w:rPr>
        <w:t>受疫情影响及</w:t>
      </w:r>
      <w:r>
        <w:rPr>
          <w:rFonts w:hint="eastAsia" w:ascii="仿宋" w:hAnsi="仿宋" w:eastAsia="仿宋" w:cs="仿宋"/>
          <w:color w:val="auto"/>
          <w:sz w:val="32"/>
          <w:szCs w:val="32"/>
        </w:rPr>
        <w:t>贯彻落实“过紧日子”精神，严格控制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经费支出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减少1.63</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下降57.13</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rPr>
        <w:t>,主要原因是</w:t>
      </w:r>
      <w:r>
        <w:rPr>
          <w:rFonts w:hint="eastAsia" w:ascii="仿宋" w:hAnsi="仿宋" w:eastAsia="仿宋" w:cs="仿宋"/>
          <w:color w:val="auto"/>
          <w:sz w:val="32"/>
          <w:szCs w:val="32"/>
          <w:lang w:val="en-US" w:eastAsia="zh-CN"/>
        </w:rPr>
        <w:t>受疫情影响及</w:t>
      </w:r>
      <w:r>
        <w:rPr>
          <w:rFonts w:hint="eastAsia" w:ascii="仿宋" w:hAnsi="仿宋" w:eastAsia="仿宋" w:cs="仿宋"/>
          <w:color w:val="auto"/>
          <w:sz w:val="32"/>
          <w:szCs w:val="32"/>
        </w:rPr>
        <w:t>贯彻落实“过紧日子”精神，严格控制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经费支出</w:t>
      </w:r>
      <w:r>
        <w:rPr>
          <w:rFonts w:hint="eastAsia" w:ascii="仿宋" w:hAnsi="仿宋" w:eastAsia="仿宋" w:cs="仿宋"/>
          <w:color w:val="auto"/>
          <w:sz w:val="32"/>
          <w:szCs w:val="32"/>
          <w:lang w:eastAsia="zh-CN"/>
        </w:rPr>
        <w:t>。</w:t>
      </w:r>
    </w:p>
    <w:p>
      <w:pPr>
        <w:spacing w:before="100" w:beforeLines="0" w:after="100" w:afterLines="0"/>
        <w:ind w:firstLine="643" w:firstLineChars="20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3.公务接待费</w:t>
      </w:r>
      <w:r>
        <w:rPr>
          <w:rFonts w:hint="eastAsia" w:ascii="仿宋" w:hAnsi="仿宋" w:eastAsia="仿宋" w:cs="仿宋"/>
          <w:color w:val="auto"/>
          <w:sz w:val="32"/>
          <w:szCs w:val="32"/>
          <w:lang w:val="en-US"/>
        </w:rPr>
        <w:t>全</w:t>
      </w:r>
      <w:r>
        <w:rPr>
          <w:rFonts w:hint="eastAsia" w:ascii="仿宋" w:hAnsi="仿宋" w:eastAsia="仿宋" w:cs="仿宋"/>
          <w:color w:val="auto"/>
          <w:sz w:val="32"/>
          <w:szCs w:val="32"/>
          <w:lang w:val="zh-CN"/>
        </w:rPr>
        <w:t>年预算数为0.29万元,支出决算为0.00万元,决算数小于预算数的主要原因是</w:t>
      </w:r>
      <w:r>
        <w:rPr>
          <w:rFonts w:hint="eastAsia" w:ascii="仿宋" w:hAnsi="仿宋" w:eastAsia="仿宋" w:cs="仿宋"/>
          <w:color w:val="auto"/>
          <w:sz w:val="32"/>
          <w:szCs w:val="32"/>
        </w:rPr>
        <w:t>贯彻落实“过紧日子”精神，严格控制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经费支出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减少0.04</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下降100.0</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rPr>
        <w:t>,主要原因是</w:t>
      </w:r>
      <w:r>
        <w:rPr>
          <w:rFonts w:hint="eastAsia" w:ascii="仿宋" w:hAnsi="仿宋" w:eastAsia="仿宋" w:cs="仿宋"/>
          <w:color w:val="auto"/>
          <w:sz w:val="32"/>
          <w:szCs w:val="32"/>
        </w:rPr>
        <w:t>贯彻落实“过紧日子”精神，严格控制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经费支出</w:t>
      </w:r>
      <w:r>
        <w:rPr>
          <w:rFonts w:hint="eastAsia" w:ascii="仿宋" w:hAnsi="仿宋" w:eastAsia="仿宋" w:cs="仿宋"/>
          <w:color w:val="auto"/>
          <w:sz w:val="32"/>
          <w:szCs w:val="32"/>
          <w:lang w:eastAsia="zh-CN"/>
        </w:rPr>
        <w:t>。</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(三)“三公”经费财政拨款支出决算实物量情况</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2022年度本部门</w:t>
      </w:r>
      <w:r>
        <w:rPr>
          <w:rFonts w:hint="eastAsia" w:ascii="仿宋" w:hAnsi="仿宋" w:eastAsia="仿宋" w:cs="仿宋"/>
          <w:b/>
          <w:color w:val="auto"/>
          <w:sz w:val="32"/>
          <w:szCs w:val="32"/>
          <w:lang w:val="zh-CN"/>
        </w:rPr>
        <w:t>因公出国(境)</w:t>
      </w:r>
      <w:r>
        <w:rPr>
          <w:rFonts w:hint="eastAsia" w:ascii="仿宋" w:hAnsi="仿宋" w:eastAsia="仿宋" w:cs="仿宋"/>
          <w:color w:val="auto"/>
          <w:sz w:val="32"/>
          <w:szCs w:val="32"/>
          <w:lang w:val="zh-CN"/>
        </w:rPr>
        <w:t>共计0个团组,0人；</w:t>
      </w:r>
      <w:r>
        <w:rPr>
          <w:rFonts w:hint="eastAsia" w:ascii="仿宋" w:hAnsi="仿宋" w:eastAsia="仿宋" w:cs="仿宋"/>
          <w:b/>
          <w:color w:val="auto"/>
          <w:sz w:val="32"/>
          <w:szCs w:val="32"/>
          <w:lang w:val="zh-CN"/>
        </w:rPr>
        <w:t>公务用车购置</w:t>
      </w:r>
      <w:r>
        <w:rPr>
          <w:rFonts w:hint="eastAsia" w:ascii="仿宋" w:hAnsi="仿宋" w:eastAsia="仿宋" w:cs="仿宋"/>
          <w:color w:val="auto"/>
          <w:sz w:val="32"/>
          <w:szCs w:val="32"/>
          <w:lang w:val="zh-CN"/>
        </w:rPr>
        <w:t>0辆,</w:t>
      </w:r>
      <w:r>
        <w:rPr>
          <w:rFonts w:hint="eastAsia" w:ascii="仿宋" w:hAnsi="仿宋" w:eastAsia="仿宋" w:cs="仿宋"/>
          <w:b/>
          <w:color w:val="auto"/>
          <w:sz w:val="32"/>
          <w:szCs w:val="32"/>
          <w:lang w:val="zh-CN"/>
        </w:rPr>
        <w:t>公务用车保有量</w:t>
      </w:r>
      <w:r>
        <w:rPr>
          <w:rFonts w:hint="eastAsia" w:ascii="仿宋" w:hAnsi="仿宋" w:eastAsia="仿宋" w:cs="仿宋"/>
          <w:color w:val="auto"/>
          <w:sz w:val="32"/>
          <w:szCs w:val="32"/>
          <w:lang w:val="zh-CN"/>
        </w:rPr>
        <w:t>为2辆；</w:t>
      </w:r>
      <w:r>
        <w:rPr>
          <w:rFonts w:hint="eastAsia" w:ascii="仿宋" w:hAnsi="仿宋" w:eastAsia="仿宋" w:cs="仿宋"/>
          <w:b/>
          <w:color w:val="auto"/>
          <w:sz w:val="32"/>
          <w:szCs w:val="32"/>
          <w:lang w:val="zh-CN"/>
        </w:rPr>
        <w:t>国内公务接待</w:t>
      </w:r>
      <w:r>
        <w:rPr>
          <w:rFonts w:hint="eastAsia" w:ascii="仿宋" w:hAnsi="仿宋" w:eastAsia="仿宋" w:cs="仿宋"/>
          <w:color w:val="auto"/>
          <w:sz w:val="32"/>
          <w:szCs w:val="32"/>
          <w:lang w:val="zh-CN"/>
        </w:rPr>
        <w:t>0批次0人,其中：</w:t>
      </w:r>
      <w:r>
        <w:rPr>
          <w:rFonts w:hint="eastAsia" w:ascii="仿宋" w:hAnsi="仿宋" w:eastAsia="仿宋" w:cs="仿宋"/>
          <w:b/>
          <w:color w:val="auto"/>
          <w:sz w:val="32"/>
          <w:szCs w:val="32"/>
          <w:lang w:val="zh-CN"/>
        </w:rPr>
        <w:t>外事接待</w:t>
      </w:r>
      <w:r>
        <w:rPr>
          <w:rFonts w:hint="eastAsia" w:ascii="仿宋" w:hAnsi="仿宋" w:eastAsia="仿宋" w:cs="仿宋"/>
          <w:color w:val="auto"/>
          <w:sz w:val="32"/>
          <w:szCs w:val="32"/>
          <w:lang w:val="zh-CN"/>
        </w:rPr>
        <w:t>0批次,0人；</w:t>
      </w:r>
      <w:r>
        <w:rPr>
          <w:rFonts w:hint="eastAsia" w:ascii="仿宋" w:hAnsi="仿宋" w:eastAsia="仿宋" w:cs="仿宋"/>
          <w:b/>
          <w:color w:val="auto"/>
          <w:sz w:val="32"/>
          <w:szCs w:val="32"/>
          <w:lang w:val="zh-CN"/>
        </w:rPr>
        <w:t>国(境)外公务接待</w:t>
      </w:r>
      <w:r>
        <w:rPr>
          <w:rFonts w:hint="eastAsia" w:ascii="仿宋" w:hAnsi="仿宋" w:eastAsia="仿宋" w:cs="仿宋"/>
          <w:color w:val="auto"/>
          <w:sz w:val="32"/>
          <w:szCs w:val="32"/>
          <w:lang w:val="zh-CN"/>
        </w:rPr>
        <w:t>0批次,0人。</w:t>
      </w:r>
    </w:p>
    <w:p>
      <w:pPr>
        <w:spacing w:before="100" w:beforeLines="0" w:after="100" w:afterLines="0"/>
        <w:jc w:val="center"/>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zh-CN"/>
        </w:rPr>
        <w:t>第四部分预算绩效情况说明</w:t>
      </w:r>
    </w:p>
    <w:p>
      <w:pPr>
        <w:numPr>
          <w:ilvl w:val="0"/>
          <w:numId w:val="2"/>
        </w:numPr>
        <w:spacing w:before="100" w:beforeLines="0" w:after="100" w:afterLines="0"/>
        <w:jc w:val="left"/>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zh-CN"/>
        </w:rPr>
        <w:t>预算绩效管理工作开展情况</w:t>
      </w:r>
    </w:p>
    <w:p>
      <w:pPr>
        <w:numPr>
          <w:ilvl w:val="0"/>
          <w:numId w:val="0"/>
        </w:num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000000"/>
          <w:kern w:val="0"/>
          <w:sz w:val="32"/>
          <w:szCs w:val="32"/>
          <w:lang w:val="en-US"/>
        </w:rPr>
        <w:t>根据预算绩效管理要求,本部门对2022年度一般公共预算项目支出全面开展绩</w:t>
      </w:r>
      <w:r>
        <w:rPr>
          <w:rFonts w:hint="eastAsia" w:ascii="仿宋" w:hAnsi="仿宋" w:eastAsia="仿宋" w:cs="仿宋"/>
          <w:color w:val="auto"/>
          <w:kern w:val="0"/>
          <w:sz w:val="32"/>
          <w:szCs w:val="32"/>
          <w:lang w:val="en-US"/>
        </w:rPr>
        <w:t>效自评,其中,一级项目</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lang w:val="en-US"/>
        </w:rPr>
        <w:t>个,二级项目</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lang w:val="en-US"/>
        </w:rPr>
        <w:t>个,共涉及资金</w:t>
      </w:r>
      <w:r>
        <w:rPr>
          <w:rFonts w:hint="eastAsia" w:ascii="仿宋_GB2312" w:hAnsi="仿宋_GB2312" w:eastAsia="仿宋_GB2312" w:cs="仿宋_GB2312"/>
          <w:color w:val="auto"/>
          <w:kern w:val="0"/>
          <w:sz w:val="32"/>
          <w:szCs w:val="32"/>
          <w:lang w:val="en-US" w:eastAsia="zh-CN"/>
        </w:rPr>
        <w:t>406.5</w:t>
      </w:r>
      <w:r>
        <w:rPr>
          <w:rFonts w:hint="eastAsia" w:ascii="仿宋" w:hAnsi="仿宋" w:eastAsia="仿宋" w:cs="仿宋"/>
          <w:color w:val="auto"/>
          <w:kern w:val="0"/>
          <w:sz w:val="32"/>
          <w:szCs w:val="32"/>
          <w:lang w:val="en-US"/>
        </w:rPr>
        <w:t>万元,占一般公共预算项目支出总额的</w:t>
      </w:r>
      <w:r>
        <w:rPr>
          <w:rFonts w:hint="eastAsia" w:ascii="仿宋_GB2312" w:hAnsi="仿宋_GB2312" w:eastAsia="仿宋_GB2312" w:cs="仿宋_GB2312"/>
          <w:color w:val="auto"/>
          <w:kern w:val="0"/>
          <w:sz w:val="32"/>
          <w:szCs w:val="32"/>
          <w:lang w:val="en-US" w:eastAsia="zh-CN"/>
        </w:rPr>
        <w:t>53.10</w:t>
      </w:r>
      <w:r>
        <w:rPr>
          <w:rFonts w:hint="eastAsia" w:ascii="仿宋" w:hAnsi="仿宋" w:eastAsia="仿宋" w:cs="仿宋"/>
          <w:color w:val="auto"/>
          <w:kern w:val="0"/>
          <w:sz w:val="32"/>
          <w:szCs w:val="32"/>
          <w:lang w:val="en-US"/>
        </w:rPr>
        <w:t>%。2022年度组织对</w:t>
      </w:r>
      <w:r>
        <w:rPr>
          <w:rFonts w:hint="eastAsia" w:ascii="仿宋_GB2312" w:hAnsi="仿宋_GB2312" w:eastAsia="仿宋_GB2312" w:cs="仿宋_GB2312"/>
          <w:color w:val="auto"/>
          <w:kern w:val="0"/>
          <w:sz w:val="32"/>
          <w:szCs w:val="32"/>
          <w:lang w:val="en-US"/>
        </w:rPr>
        <w:t>“基本公共卫生服务”</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rPr>
        <w:t>“疾病预防控制机构</w:t>
      </w:r>
      <w:r>
        <w:rPr>
          <w:rFonts w:hint="eastAsia" w:ascii="仿宋_GB2312" w:hAnsi="仿宋_GB2312" w:eastAsia="仿宋_GB2312" w:cs="仿宋_GB2312"/>
          <w:color w:val="auto"/>
          <w:kern w:val="0"/>
          <w:sz w:val="32"/>
          <w:szCs w:val="32"/>
          <w:lang w:val="en-US" w:eastAsia="zh-CN"/>
        </w:rPr>
        <w:t>（业务费）</w:t>
      </w:r>
      <w:r>
        <w:rPr>
          <w:rFonts w:hint="eastAsia" w:ascii="仿宋_GB2312" w:hAnsi="仿宋_GB2312" w:eastAsia="仿宋_GB2312" w:cs="仿宋_GB2312"/>
          <w:color w:val="auto"/>
          <w:kern w:val="0"/>
          <w:sz w:val="32"/>
          <w:szCs w:val="32"/>
          <w:lang w:val="en-US"/>
        </w:rPr>
        <w:t>”</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rPr>
        <w:t>中医(民族医)药专项</w:t>
      </w:r>
      <w:r>
        <w:rPr>
          <w:rFonts w:hint="eastAsia" w:ascii="仿宋_GB2312" w:hAnsi="仿宋_GB2312" w:eastAsia="仿宋_GB2312" w:cs="仿宋_GB2312"/>
          <w:color w:val="auto"/>
          <w:kern w:val="0"/>
          <w:sz w:val="32"/>
          <w:szCs w:val="32"/>
          <w:lang w:val="en-US" w:eastAsia="zh-CN"/>
        </w:rPr>
        <w:t>”、“其他卫生健康支出”</w:t>
      </w:r>
      <w:r>
        <w:rPr>
          <w:rFonts w:hint="eastAsia" w:ascii="仿宋_GB2312" w:hAnsi="仿宋_GB2312" w:eastAsia="仿宋_GB2312" w:cs="仿宋_GB2312"/>
          <w:color w:val="auto"/>
          <w:kern w:val="0"/>
          <w:sz w:val="32"/>
          <w:szCs w:val="32"/>
          <w:lang w:val="en-US"/>
        </w:rPr>
        <w:t>等</w:t>
      </w:r>
      <w:r>
        <w:rPr>
          <w:rFonts w:hint="eastAsia" w:ascii="仿宋_GB2312" w:hAnsi="仿宋_GB2312" w:eastAsia="仿宋_GB2312" w:cs="仿宋_GB2312"/>
          <w:color w:val="auto"/>
          <w:kern w:val="0"/>
          <w:sz w:val="32"/>
          <w:szCs w:val="32"/>
          <w:lang w:val="en-US" w:eastAsia="zh-CN"/>
        </w:rPr>
        <w:t>4</w:t>
      </w:r>
      <w:r>
        <w:rPr>
          <w:rFonts w:hint="eastAsia" w:ascii="仿宋" w:hAnsi="仿宋" w:eastAsia="仿宋" w:cs="仿宋"/>
          <w:color w:val="auto"/>
          <w:kern w:val="0"/>
          <w:sz w:val="32"/>
          <w:szCs w:val="32"/>
          <w:lang w:val="en-US"/>
        </w:rPr>
        <w:t>个项目开展了部门评价,涉及一般公共预算支出</w:t>
      </w:r>
      <w:r>
        <w:rPr>
          <w:rFonts w:hint="eastAsia" w:ascii="仿宋" w:hAnsi="仿宋" w:eastAsia="仿宋" w:cs="仿宋"/>
          <w:color w:val="auto"/>
          <w:kern w:val="0"/>
          <w:sz w:val="32"/>
          <w:szCs w:val="32"/>
          <w:lang w:val="en-US" w:eastAsia="zh-CN"/>
        </w:rPr>
        <w:t>406.5</w:t>
      </w:r>
      <w:r>
        <w:rPr>
          <w:rFonts w:hint="eastAsia" w:ascii="仿宋" w:hAnsi="仿宋" w:eastAsia="仿宋" w:cs="仿宋"/>
          <w:color w:val="auto"/>
          <w:kern w:val="0"/>
          <w:sz w:val="32"/>
          <w:szCs w:val="32"/>
          <w:lang w:val="en-US"/>
        </w:rPr>
        <w:t>万元。从评价情况来看,</w:t>
      </w:r>
      <w:r>
        <w:rPr>
          <w:rFonts w:hint="eastAsia" w:ascii="仿宋_GB2312" w:hAnsi="仿宋_GB2312" w:eastAsia="仿宋_GB2312" w:cs="仿宋_GB2312"/>
          <w:color w:val="auto"/>
          <w:kern w:val="0"/>
          <w:sz w:val="32"/>
          <w:szCs w:val="32"/>
          <w:lang w:val="en-US" w:eastAsia="zh-CN"/>
        </w:rPr>
        <w:t>各项目绩效指标设定科学合理，紧扣工作任务，符</w:t>
      </w:r>
      <w:r>
        <w:rPr>
          <w:rFonts w:hint="eastAsia" w:ascii="仿宋_GB2312" w:hAnsi="仿宋_GB2312" w:eastAsia="仿宋_GB2312" w:cs="仿宋_GB2312"/>
          <w:color w:val="000000"/>
          <w:kern w:val="0"/>
          <w:sz w:val="32"/>
          <w:szCs w:val="32"/>
          <w:lang w:val="en-US" w:eastAsia="zh-CN"/>
        </w:rPr>
        <w:t>合实际情况，项目资金使用科学合理规范，无挪用挤占等情况发生。受新冠肺炎疫情影响，中心及时调整工作方式，积极开展网络科普直播，通过线上培训督导等形式开展工作，部分确需实地开展的工作已于2023年6月前全部完成。项目实施后社会反响良好，群众满意度较高，达到预期目标。</w:t>
      </w:r>
    </w:p>
    <w:p>
      <w:pPr>
        <w:numPr>
          <w:ilvl w:val="0"/>
          <w:numId w:val="2"/>
        </w:numPr>
        <w:spacing w:before="100" w:beforeLines="0" w:after="100" w:afterLines="0"/>
        <w:ind w:left="0" w:leftChars="0" w:firstLine="0" w:firstLineChars="0"/>
        <w:jc w:val="left"/>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zh-CN"/>
        </w:rPr>
        <w:t>绩效自评结果</w:t>
      </w:r>
    </w:p>
    <w:p>
      <w:pPr>
        <w:numPr>
          <w:ilvl w:val="0"/>
          <w:numId w:val="0"/>
        </w:numPr>
        <w:spacing w:before="100" w:beforeLines="0" w:after="100" w:afterLines="0"/>
        <w:ind w:leftChars="0" w:firstLine="640" w:firstLineChars="200"/>
        <w:jc w:val="left"/>
        <w:rPr>
          <w:rFonts w:hint="eastAsia" w:ascii="仿宋" w:hAnsi="仿宋" w:eastAsia="仿宋" w:cs="仿宋"/>
          <w:color w:val="000000"/>
          <w:kern w:val="0"/>
          <w:sz w:val="32"/>
          <w:szCs w:val="32"/>
          <w:lang w:val="en-US"/>
        </w:rPr>
      </w:pPr>
      <w:r>
        <w:rPr>
          <w:rFonts w:hint="eastAsia" w:ascii="仿宋" w:hAnsi="仿宋" w:eastAsia="仿宋" w:cs="仿宋"/>
          <w:color w:val="000000"/>
          <w:kern w:val="0"/>
          <w:sz w:val="32"/>
          <w:szCs w:val="32"/>
          <w:lang w:val="en-US"/>
        </w:rPr>
        <w:t>我</w:t>
      </w:r>
      <w:r>
        <w:rPr>
          <w:rFonts w:hint="eastAsia" w:ascii="仿宋" w:hAnsi="仿宋" w:eastAsia="仿宋" w:cs="仿宋"/>
          <w:color w:val="000000"/>
          <w:kern w:val="0"/>
          <w:sz w:val="32"/>
          <w:szCs w:val="32"/>
          <w:lang w:val="en-US" w:eastAsia="zh-CN"/>
        </w:rPr>
        <w:t>中心</w:t>
      </w:r>
      <w:r>
        <w:rPr>
          <w:rFonts w:hint="eastAsia" w:ascii="仿宋" w:hAnsi="仿宋" w:eastAsia="仿宋" w:cs="仿宋"/>
          <w:color w:val="000000"/>
          <w:kern w:val="0"/>
          <w:sz w:val="32"/>
          <w:szCs w:val="32"/>
          <w:lang w:val="en-US"/>
        </w:rPr>
        <w:t>在2022年度部门决算中反映</w:t>
      </w:r>
      <w:r>
        <w:rPr>
          <w:rFonts w:hint="eastAsia" w:ascii="仿宋_GB2312" w:hAnsi="仿宋_GB2312" w:eastAsia="仿宋_GB2312" w:cs="仿宋_GB2312"/>
          <w:color w:val="auto"/>
          <w:kern w:val="0"/>
          <w:sz w:val="32"/>
          <w:szCs w:val="32"/>
          <w:lang w:val="en-US"/>
        </w:rPr>
        <w:t>“基本公共卫生服务”</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rPr>
        <w:t>“疾病预防控制机构</w:t>
      </w:r>
      <w:r>
        <w:rPr>
          <w:rFonts w:hint="eastAsia" w:ascii="仿宋_GB2312" w:hAnsi="仿宋_GB2312" w:eastAsia="仿宋_GB2312" w:cs="仿宋_GB2312"/>
          <w:color w:val="auto"/>
          <w:kern w:val="0"/>
          <w:sz w:val="32"/>
          <w:szCs w:val="32"/>
          <w:lang w:val="en-US" w:eastAsia="zh-CN"/>
        </w:rPr>
        <w:t>（业务费）</w:t>
      </w:r>
      <w:r>
        <w:rPr>
          <w:rFonts w:hint="eastAsia" w:ascii="仿宋_GB2312" w:hAnsi="仿宋_GB2312" w:eastAsia="仿宋_GB2312" w:cs="仿宋_GB2312"/>
          <w:color w:val="auto"/>
          <w:kern w:val="0"/>
          <w:sz w:val="32"/>
          <w:szCs w:val="32"/>
          <w:lang w:val="en-US"/>
        </w:rPr>
        <w:t>”</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rPr>
        <w:t>中医(民族医)药专项</w:t>
      </w:r>
      <w:r>
        <w:rPr>
          <w:rFonts w:hint="eastAsia" w:ascii="仿宋_GB2312" w:hAnsi="仿宋_GB2312" w:eastAsia="仿宋_GB2312" w:cs="仿宋_GB2312"/>
          <w:color w:val="auto"/>
          <w:kern w:val="0"/>
          <w:sz w:val="32"/>
          <w:szCs w:val="32"/>
          <w:lang w:val="en-US" w:eastAsia="zh-CN"/>
        </w:rPr>
        <w:t>”、“其他卫生健康支出”</w:t>
      </w:r>
      <w:r>
        <w:rPr>
          <w:rFonts w:hint="eastAsia" w:ascii="仿宋_GB2312" w:hAnsi="仿宋_GB2312" w:eastAsia="仿宋_GB2312" w:cs="仿宋_GB2312"/>
          <w:color w:val="auto"/>
          <w:kern w:val="0"/>
          <w:sz w:val="32"/>
          <w:szCs w:val="32"/>
          <w:lang w:val="en-US"/>
        </w:rPr>
        <w:t>等</w:t>
      </w:r>
      <w:r>
        <w:rPr>
          <w:rFonts w:hint="eastAsia" w:ascii="仿宋_GB2312" w:hAnsi="仿宋_GB2312" w:eastAsia="仿宋_GB2312" w:cs="仿宋_GB2312"/>
          <w:color w:val="auto"/>
          <w:kern w:val="0"/>
          <w:sz w:val="32"/>
          <w:szCs w:val="32"/>
          <w:lang w:val="en-US" w:eastAsia="zh-CN"/>
        </w:rPr>
        <w:t>4</w:t>
      </w:r>
      <w:r>
        <w:rPr>
          <w:rFonts w:hint="eastAsia" w:ascii="仿宋" w:hAnsi="仿宋" w:eastAsia="仿宋" w:cs="仿宋"/>
          <w:color w:val="000000"/>
          <w:kern w:val="0"/>
          <w:sz w:val="32"/>
          <w:szCs w:val="32"/>
          <w:lang w:val="en-US"/>
        </w:rPr>
        <w:t>个项目绩效自评结果。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5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楷体" w:hAnsi="楷体" w:eastAsia="楷体" w:cs="楷体"/>
          <w:color w:val="000000"/>
          <w:kern w:val="0"/>
          <w:sz w:val="32"/>
          <w:szCs w:val="32"/>
          <w:lang w:val="en-US" w:eastAsia="zh-CN"/>
        </w:rPr>
        <w:t>基本公共卫生服务项目自评情况：</w:t>
      </w:r>
      <w:r>
        <w:rPr>
          <w:rFonts w:hint="eastAsia" w:ascii="仿宋_GB2312" w:hAnsi="仿宋_GB2312" w:eastAsia="仿宋_GB2312" w:cs="仿宋_GB2312"/>
          <w:color w:val="000000"/>
          <w:kern w:val="0"/>
          <w:sz w:val="32"/>
          <w:szCs w:val="32"/>
          <w:lang w:val="en-US" w:eastAsia="zh-CN"/>
        </w:rPr>
        <w:t>根据年初设定的绩效目标，项目绩效自评得分为82分。项目全年预算数为267万元，执行数为45.26万元，完成预算的16.95%。</w:t>
      </w:r>
      <w:r>
        <w:rPr>
          <w:rFonts w:hint="eastAsia" w:ascii="仿宋" w:hAnsi="仿宋" w:eastAsia="仿宋" w:cs="仿宋"/>
          <w:color w:val="000000"/>
          <w:kern w:val="0"/>
          <w:sz w:val="32"/>
          <w:szCs w:val="32"/>
          <w:lang w:val="en-US"/>
        </w:rPr>
        <w:t>项目绩效目标完成情况</w:t>
      </w:r>
      <w:r>
        <w:rPr>
          <w:rFonts w:hint="eastAsia" w:ascii="仿宋" w:hAnsi="仿宋" w:eastAsia="仿宋" w:cs="仿宋"/>
          <w:color w:val="000000"/>
          <w:kern w:val="0"/>
          <w:sz w:val="32"/>
          <w:szCs w:val="32"/>
          <w:lang w:val="en-US" w:eastAsia="zh-CN"/>
        </w:rPr>
        <w:t>：一是大力开展重点领域重点人群健康教育，提升脱贫地区居民健康素养水平，改善居民健康状况；二是继续开展省级健康促进县（区）建设；健康促进医院、学校等健康场所建设稳步推进；三是结合新冠肺炎疫情防控要求，大力推进健康科普传播工作；四是健康素养监测相关工作全面覆盖，确保监测覆盖面广，监测数据真实有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5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楷体" w:hAnsi="楷体" w:eastAsia="楷体" w:cs="楷体"/>
          <w:color w:val="000000"/>
          <w:kern w:val="0"/>
          <w:sz w:val="32"/>
          <w:szCs w:val="32"/>
          <w:lang w:val="en-US" w:eastAsia="zh-CN"/>
        </w:rPr>
        <w:t>疾病预防控制机构（业务费）项目自评情况：</w:t>
      </w:r>
      <w:r>
        <w:rPr>
          <w:rFonts w:hint="eastAsia" w:ascii="仿宋_GB2312" w:hAnsi="仿宋_GB2312" w:eastAsia="仿宋_GB2312" w:cs="仿宋_GB2312"/>
          <w:color w:val="000000"/>
          <w:kern w:val="0"/>
          <w:sz w:val="32"/>
          <w:szCs w:val="32"/>
          <w:lang w:val="en-US" w:eastAsia="zh-CN"/>
        </w:rPr>
        <w:t>根据年初设定的绩效目标，项目绩效自评得分为100分。项目全年预算数为45万元，执行数为45万元，完成预算的100%。</w:t>
      </w:r>
      <w:r>
        <w:rPr>
          <w:rFonts w:hint="eastAsia" w:ascii="仿宋" w:hAnsi="仿宋" w:eastAsia="仿宋" w:cs="仿宋"/>
          <w:color w:val="000000"/>
          <w:kern w:val="0"/>
          <w:sz w:val="32"/>
          <w:szCs w:val="32"/>
          <w:lang w:val="en-US"/>
        </w:rPr>
        <w:t>项目绩效目标完成情况</w:t>
      </w:r>
      <w:r>
        <w:rPr>
          <w:rFonts w:hint="eastAsia" w:ascii="仿宋" w:hAnsi="仿宋" w:eastAsia="仿宋" w:cs="仿宋"/>
          <w:color w:val="000000"/>
          <w:kern w:val="0"/>
          <w:sz w:val="32"/>
          <w:szCs w:val="32"/>
          <w:lang w:val="en-US" w:eastAsia="zh-CN"/>
        </w:rPr>
        <w:t>：根据年初制定的绩效目标开展相关工作，职工能力得到提升，基础保障得到加强，健康教育、健康促进及卫生健康宣传工作水平得到提升，完成年初制定的各项绩效指标。</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5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楷体" w:hAnsi="楷体" w:eastAsia="楷体" w:cs="楷体"/>
          <w:color w:val="000000"/>
          <w:kern w:val="0"/>
          <w:sz w:val="32"/>
          <w:szCs w:val="32"/>
          <w:lang w:val="en-US" w:eastAsia="zh-CN"/>
        </w:rPr>
        <w:t>中医（民族医）药专项自评情况：</w:t>
      </w:r>
      <w:r>
        <w:rPr>
          <w:rFonts w:hint="eastAsia" w:ascii="仿宋_GB2312" w:hAnsi="仿宋_GB2312" w:eastAsia="仿宋_GB2312" w:cs="仿宋_GB2312"/>
          <w:color w:val="000000"/>
          <w:kern w:val="0"/>
          <w:sz w:val="32"/>
          <w:szCs w:val="32"/>
          <w:lang w:val="en-US" w:eastAsia="zh-CN"/>
        </w:rPr>
        <w:t>根据年初设定的绩效目标，项目绩效自评得分为85分。项目全年预算数为4.5万元，受新冠肺炎疫情影响，截止2022年12月31日，项目资金执行数为0万元，完成预算的0%。</w:t>
      </w:r>
      <w:r>
        <w:rPr>
          <w:rFonts w:hint="eastAsia" w:ascii="仿宋" w:hAnsi="仿宋" w:eastAsia="仿宋" w:cs="仿宋"/>
          <w:color w:val="000000"/>
          <w:kern w:val="0"/>
          <w:sz w:val="32"/>
          <w:szCs w:val="32"/>
          <w:lang w:val="en-US"/>
        </w:rPr>
        <w:t>项目绩效目标完成情况</w:t>
      </w:r>
      <w:r>
        <w:rPr>
          <w:rFonts w:hint="eastAsia" w:ascii="仿宋" w:hAnsi="仿宋" w:eastAsia="仿宋" w:cs="仿宋"/>
          <w:color w:val="000000"/>
          <w:kern w:val="0"/>
          <w:sz w:val="32"/>
          <w:szCs w:val="32"/>
          <w:lang w:val="en-US" w:eastAsia="zh-CN"/>
        </w:rPr>
        <w:t>：根据项目计划，完成了8个县的问卷调查，通过视频会议形式开展线上培训，群众中医药健康文化素养得到提升。受疫情影响，调查问卷的数据分析和监测报告撰写正按计划进行。</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5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楷体" w:hAnsi="楷体" w:eastAsia="楷体" w:cs="楷体"/>
          <w:color w:val="000000"/>
          <w:kern w:val="0"/>
          <w:sz w:val="32"/>
          <w:szCs w:val="32"/>
          <w:lang w:val="en-US" w:eastAsia="zh-CN"/>
        </w:rPr>
        <w:t>其他卫生健康支出（卫生业务费）自评情况：</w:t>
      </w:r>
      <w:r>
        <w:rPr>
          <w:rFonts w:hint="eastAsia" w:ascii="仿宋_GB2312" w:hAnsi="仿宋_GB2312" w:eastAsia="仿宋_GB2312" w:cs="仿宋_GB2312"/>
          <w:color w:val="000000"/>
          <w:kern w:val="0"/>
          <w:sz w:val="32"/>
          <w:szCs w:val="32"/>
          <w:lang w:val="en-US" w:eastAsia="zh-CN"/>
        </w:rPr>
        <w:t>根据年初设定的绩效目标，项目绩效自评得分为100分。项目全年预算数为90万元，项目资金执行数为90万元，完成预算的100%。</w:t>
      </w:r>
      <w:r>
        <w:rPr>
          <w:rFonts w:hint="eastAsia" w:ascii="仿宋" w:hAnsi="仿宋" w:eastAsia="仿宋" w:cs="仿宋"/>
          <w:color w:val="000000"/>
          <w:kern w:val="0"/>
          <w:sz w:val="32"/>
          <w:szCs w:val="32"/>
          <w:lang w:val="en-US"/>
        </w:rPr>
        <w:t>项目绩效目标完成情况</w:t>
      </w:r>
      <w:r>
        <w:rPr>
          <w:rFonts w:hint="eastAsia" w:ascii="仿宋" w:hAnsi="仿宋" w:eastAsia="仿宋" w:cs="仿宋"/>
          <w:color w:val="000000"/>
          <w:kern w:val="0"/>
          <w:sz w:val="32"/>
          <w:szCs w:val="32"/>
          <w:lang w:val="en-US" w:eastAsia="zh-CN"/>
        </w:rPr>
        <w:t>：通过大力宣传，丰富了基层群众健康文化，提高了自我健康管理意识，居民健康水平得到提升。</w:t>
      </w:r>
    </w:p>
    <w:p>
      <w:pPr>
        <w:keepNext w:val="0"/>
        <w:keepLines w:val="0"/>
        <w:pageBreakBefore w:val="0"/>
        <w:widowControl w:val="0"/>
        <w:numPr>
          <w:ilvl w:val="0"/>
          <w:numId w:val="0"/>
        </w:numPr>
        <w:suppressLineNumbers/>
        <w:kinsoku/>
        <w:wordWrap/>
        <w:overflowPunct/>
        <w:topLinePunct w:val="0"/>
        <w:autoSpaceDE w:val="0"/>
        <w:autoSpaceDN w:val="0"/>
        <w:bidi w:val="0"/>
        <w:adjustRightInd w:val="0"/>
        <w:snapToGrid w:val="0"/>
        <w:spacing w:beforeLines="0" w:afterLines="0" w:line="55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 w:hAnsi="仿宋" w:eastAsia="仿宋" w:cs="仿宋"/>
          <w:color w:val="000000"/>
          <w:kern w:val="0"/>
          <w:sz w:val="32"/>
          <w:szCs w:val="32"/>
          <w:lang w:val="en-US"/>
        </w:rPr>
        <w:t>发现的主要问题及原因：</w:t>
      </w:r>
      <w:r>
        <w:rPr>
          <w:rFonts w:hint="default" w:ascii="仿宋_GB2312" w:hAnsi="仿宋_GB2312" w:eastAsia="仿宋_GB2312" w:cs="仿宋_GB2312"/>
          <w:color w:val="000000"/>
          <w:kern w:val="0"/>
          <w:sz w:val="32"/>
          <w:szCs w:val="32"/>
          <w:lang w:val="en-US" w:eastAsia="zh-CN"/>
        </w:rPr>
        <w:t xml:space="preserve">一是思想认识尚不到位。受新冠肺炎疫情影响，部分工作未能如期开展，要审时度势，及时完成工作计划。对于绩效评价工作的重要性认识还不足，缺乏主动性。 </w:t>
      </w:r>
    </w:p>
    <w:p>
      <w:pPr>
        <w:keepNext w:val="0"/>
        <w:keepLines w:val="0"/>
        <w:pageBreakBefore w:val="0"/>
        <w:widowControl w:val="0"/>
        <w:numPr>
          <w:ilvl w:val="0"/>
          <w:numId w:val="0"/>
        </w:numPr>
        <w:suppressLineNumbers/>
        <w:kinsoku/>
        <w:wordWrap/>
        <w:overflowPunct/>
        <w:topLinePunct w:val="0"/>
        <w:autoSpaceDE w:val="0"/>
        <w:autoSpaceDN w:val="0"/>
        <w:bidi w:val="0"/>
        <w:adjustRightInd w:val="0"/>
        <w:snapToGrid w:val="0"/>
        <w:spacing w:beforeLines="0" w:afterLines="0" w:line="55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 xml:space="preserve">二是绩效评价机构不健全，缺乏绩效评价专业人才。因此，绩效评价工作所花的精力不够，绩效评价的深度和广度受到限制，绩效评价工作质量也受到较大影响。 </w:t>
      </w:r>
    </w:p>
    <w:p>
      <w:pPr>
        <w:keepNext/>
        <w:keepLines/>
        <w:suppressLineNumbers/>
        <w:spacing w:beforeLines="0" w:afterLines="0"/>
        <w:ind w:firstLine="640" w:firstLineChars="200"/>
        <w:jc w:val="left"/>
        <w:rPr>
          <w:rFonts w:hint="default"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三是评价结果运用不够。由于绩效评价水平和质量还不够高，此次项目绩效评价还只停留在反映情况和问题上，没有完全将评价结果作为次年预算编制的重要依据，没有真正与规范预算管理、完善预算编制、加强部门管理及提高资金使用效益有效结合起来。</w:t>
      </w:r>
    </w:p>
    <w:p>
      <w:pPr>
        <w:keepNext w:val="0"/>
        <w:keepLines w:val="0"/>
        <w:pageBreakBefore w:val="0"/>
        <w:widowControl w:val="0"/>
        <w:numPr>
          <w:ilvl w:val="0"/>
          <w:numId w:val="0"/>
        </w:numPr>
        <w:suppressLineNumbers/>
        <w:kinsoku/>
        <w:wordWrap/>
        <w:overflowPunct/>
        <w:topLinePunct w:val="0"/>
        <w:autoSpaceDE w:val="0"/>
        <w:autoSpaceDN w:val="0"/>
        <w:bidi w:val="0"/>
        <w:adjustRightInd w:val="0"/>
        <w:snapToGrid w:val="0"/>
        <w:spacing w:beforeLines="0" w:afterLines="0" w:line="55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eastAsia" w:ascii="仿宋" w:hAnsi="仿宋" w:eastAsia="仿宋" w:cs="仿宋"/>
          <w:color w:val="000000"/>
          <w:kern w:val="0"/>
          <w:sz w:val="32"/>
          <w:szCs w:val="32"/>
          <w:lang w:val="en-US"/>
        </w:rPr>
        <w:t>下一步改进措施：</w:t>
      </w:r>
      <w:r>
        <w:rPr>
          <w:rFonts w:hint="default" w:ascii="仿宋_GB2312" w:hAnsi="仿宋_GB2312" w:eastAsia="仿宋_GB2312" w:cs="仿宋_GB2312"/>
          <w:color w:val="000000"/>
          <w:kern w:val="0"/>
          <w:sz w:val="32"/>
          <w:szCs w:val="32"/>
          <w:lang w:val="en-US" w:eastAsia="zh-CN"/>
        </w:rPr>
        <w:t>一是强化绩效理念，健全完善评价机制，切实加强组织领导，深入推进评价工作，提升整体绩效管理水平。</w:t>
      </w:r>
    </w:p>
    <w:p>
      <w:pPr>
        <w:keepNext w:val="0"/>
        <w:keepLines w:val="0"/>
        <w:pageBreakBefore w:val="0"/>
        <w:widowControl w:val="0"/>
        <w:numPr>
          <w:ilvl w:val="0"/>
          <w:numId w:val="0"/>
        </w:numPr>
        <w:suppressLineNumbers/>
        <w:kinsoku/>
        <w:wordWrap/>
        <w:overflowPunct/>
        <w:topLinePunct w:val="0"/>
        <w:autoSpaceDE w:val="0"/>
        <w:autoSpaceDN w:val="0"/>
        <w:bidi w:val="0"/>
        <w:adjustRightInd w:val="0"/>
        <w:snapToGrid w:val="0"/>
        <w:spacing w:beforeLines="0" w:afterLines="0" w:line="55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二是强化事前准备，提升评价质量。在推进自身评价工作开展时，结合评价工作实际，确保绩效评价结果公正、客观、精准、真实反映绩效，如实反映问题，切实提高评价质量。</w:t>
      </w:r>
    </w:p>
    <w:p>
      <w:pPr>
        <w:keepNext w:val="0"/>
        <w:keepLines w:val="0"/>
        <w:pageBreakBefore w:val="0"/>
        <w:widowControl w:val="0"/>
        <w:numPr>
          <w:ilvl w:val="0"/>
          <w:numId w:val="0"/>
        </w:numPr>
        <w:suppressLineNumbers/>
        <w:kinsoku/>
        <w:wordWrap/>
        <w:overflowPunct/>
        <w:topLinePunct w:val="0"/>
        <w:autoSpaceDE w:val="0"/>
        <w:autoSpaceDN w:val="0"/>
        <w:bidi w:val="0"/>
        <w:adjustRightInd w:val="0"/>
        <w:snapToGrid w:val="0"/>
        <w:spacing w:beforeLines="0" w:afterLines="0" w:line="55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rPr>
      </w:pPr>
      <w:r>
        <w:rPr>
          <w:rFonts w:hint="default" w:ascii="仿宋_GB2312" w:hAnsi="仿宋_GB2312" w:eastAsia="仿宋_GB2312" w:cs="仿宋_GB2312"/>
          <w:color w:val="000000"/>
          <w:kern w:val="0"/>
          <w:sz w:val="32"/>
          <w:szCs w:val="32"/>
          <w:lang w:val="en-US" w:eastAsia="zh-CN"/>
        </w:rPr>
        <w:t>三是总结经验，完善绩效评价总结2022年的工作经验，进一步推进预算绩效管理工作，提高财政资金使用效益，以确保项目资金按项目进度支付。</w:t>
      </w:r>
    </w:p>
    <w:p>
      <w:pPr>
        <w:keepNext/>
        <w:keepLines/>
        <w:suppressLineNumbers/>
        <w:spacing w:beforeLines="0" w:afterLines="0"/>
        <w:ind w:firstLine="640" w:firstLineChars="200"/>
        <w:jc w:val="left"/>
        <w:rPr>
          <w:rFonts w:hint="eastAsia" w:ascii="仿宋" w:hAnsi="仿宋" w:eastAsia="仿宋" w:cs="仿宋"/>
          <w:color w:val="auto"/>
          <w:sz w:val="32"/>
          <w:szCs w:val="32"/>
          <w:lang w:val="zh-CN"/>
        </w:rPr>
      </w:pPr>
    </w:p>
    <w:p>
      <w:pPr>
        <w:spacing w:before="100" w:beforeLines="0" w:after="100" w:afterLines="0"/>
        <w:jc w:val="center"/>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第五部分名词解释</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一、财政拨款收入</w:t>
      </w:r>
      <w:r>
        <w:rPr>
          <w:rFonts w:hint="eastAsia" w:ascii="仿宋" w:hAnsi="仿宋" w:eastAsia="仿宋" w:cs="仿宋"/>
          <w:color w:val="auto"/>
          <w:sz w:val="32"/>
          <w:szCs w:val="32"/>
          <w:lang w:val="zh-CN"/>
        </w:rPr>
        <w:t>：指本年度从本级财政部门取得的财政拨款,包括一般公共预算财政拨款和政府性基金预算财政拨款。</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二、事业收入</w:t>
      </w:r>
      <w:r>
        <w:rPr>
          <w:rFonts w:hint="eastAsia" w:ascii="仿宋" w:hAnsi="仿宋" w:eastAsia="仿宋" w:cs="仿宋"/>
          <w:color w:val="auto"/>
          <w:sz w:val="32"/>
          <w:szCs w:val="32"/>
          <w:lang w:val="zh-CN"/>
        </w:rPr>
        <w:t>：指事业单位开展专业业务活动及其辅助活动取得的现金流入；事业单位收到的财政专户实际核拨的教育收费等资金在此反映。</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三、经营收入</w:t>
      </w:r>
      <w:r>
        <w:rPr>
          <w:rFonts w:hint="eastAsia" w:ascii="仿宋" w:hAnsi="仿宋" w:eastAsia="仿宋" w:cs="仿宋"/>
          <w:color w:val="auto"/>
          <w:sz w:val="32"/>
          <w:szCs w:val="32"/>
          <w:lang w:val="zh-CN"/>
        </w:rPr>
        <w:t>：指事业单位在专业业务活动及其辅助活动之外开展非独立核算经营活动取得的现金流入。</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四、其他收入</w:t>
      </w:r>
      <w:r>
        <w:rPr>
          <w:rFonts w:hint="eastAsia" w:ascii="仿宋" w:hAnsi="仿宋" w:eastAsia="仿宋" w:cs="仿宋"/>
          <w:color w:val="auto"/>
          <w:sz w:val="32"/>
          <w:szCs w:val="32"/>
          <w:lang w:val="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五、年初结转和结余</w:t>
      </w:r>
      <w:r>
        <w:rPr>
          <w:rFonts w:hint="eastAsia" w:ascii="仿宋" w:hAnsi="仿宋" w:eastAsia="仿宋" w:cs="仿宋"/>
          <w:color w:val="auto"/>
          <w:sz w:val="32"/>
          <w:szCs w:val="32"/>
          <w:lang w:val="zh-CN"/>
        </w:rPr>
        <w:t>：指单位上年结转本年使用的基本支出结转、项目支出结转和结余、经营结余。</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六、结余分配</w:t>
      </w:r>
      <w:r>
        <w:rPr>
          <w:rFonts w:hint="eastAsia" w:ascii="仿宋" w:hAnsi="仿宋" w:eastAsia="仿宋" w:cs="仿宋"/>
          <w:color w:val="auto"/>
          <w:sz w:val="32"/>
          <w:szCs w:val="32"/>
          <w:lang w:val="zh-CN"/>
        </w:rPr>
        <w:t>：指单位按照国家有关规定,缴纳所得税、提取专用基金、转入事业基金等当年结余的分配情况。</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七、年末结转和结余</w:t>
      </w:r>
      <w:r>
        <w:rPr>
          <w:rFonts w:hint="eastAsia" w:ascii="仿宋" w:hAnsi="仿宋" w:eastAsia="仿宋" w:cs="仿宋"/>
          <w:color w:val="auto"/>
          <w:sz w:val="32"/>
          <w:szCs w:val="32"/>
          <w:lang w:val="zh-CN"/>
        </w:rPr>
        <w:t>：指单位结转下年的基本支出结转、项目支出结转和结余、经营结余。</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八、基本支出</w:t>
      </w:r>
      <w:r>
        <w:rPr>
          <w:rFonts w:hint="eastAsia" w:ascii="仿宋" w:hAnsi="仿宋" w:eastAsia="仿宋" w:cs="仿宋"/>
          <w:color w:val="auto"/>
          <w:sz w:val="32"/>
          <w:szCs w:val="32"/>
          <w:lang w:val="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九、项目支出</w:t>
      </w:r>
      <w:r>
        <w:rPr>
          <w:rFonts w:hint="eastAsia" w:ascii="仿宋" w:hAnsi="仿宋" w:eastAsia="仿宋" w:cs="仿宋"/>
          <w:color w:val="auto"/>
          <w:sz w:val="32"/>
          <w:szCs w:val="32"/>
          <w:lang w:val="zh-CN"/>
        </w:rPr>
        <w:t>：指在基本支出之外为完成特定行政任务和事业发展目标所发生的支出。</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十、经营支出</w:t>
      </w:r>
      <w:r>
        <w:rPr>
          <w:rFonts w:hint="eastAsia" w:ascii="仿宋" w:hAnsi="仿宋" w:eastAsia="仿宋" w:cs="仿宋"/>
          <w:color w:val="auto"/>
          <w:sz w:val="32"/>
          <w:szCs w:val="32"/>
          <w:lang w:val="zh-CN"/>
        </w:rPr>
        <w:t>：指事业单位在专业业务活动及其辅助活动之外开展非独立核算经营活动发生的支出。</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十一、“三公”经费</w:t>
      </w:r>
      <w:r>
        <w:rPr>
          <w:rFonts w:hint="eastAsia" w:ascii="仿宋" w:hAnsi="仿宋" w:eastAsia="仿宋" w:cs="仿宋"/>
          <w:color w:val="auto"/>
          <w:sz w:val="32"/>
          <w:szCs w:val="32"/>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left"/>
        <w:rPr>
          <w:rFonts w:hint="eastAsia" w:ascii="仿宋" w:hAnsi="仿宋" w:eastAsia="仿宋" w:cs="仿宋"/>
          <w:sz w:val="32"/>
          <w:szCs w:val="32"/>
        </w:rPr>
      </w:pPr>
      <w:r>
        <w:rPr>
          <w:rFonts w:hint="eastAsia" w:ascii="仿宋" w:hAnsi="仿宋" w:eastAsia="仿宋" w:cs="仿宋"/>
          <w:b/>
          <w:color w:val="auto"/>
          <w:sz w:val="32"/>
          <w:szCs w:val="32"/>
          <w:lang w:val="zh-CN"/>
        </w:rPr>
        <w:t>十二、机关运行经费</w:t>
      </w:r>
      <w:r>
        <w:rPr>
          <w:rFonts w:hint="eastAsia" w:ascii="仿宋" w:hAnsi="仿宋" w:eastAsia="仿宋" w:cs="仿宋"/>
          <w:color w:val="auto"/>
          <w:sz w:val="32"/>
          <w:szCs w:val="32"/>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F22FC"/>
    <w:multiLevelType w:val="singleLevel"/>
    <w:tmpl w:val="A84F22FC"/>
    <w:lvl w:ilvl="0" w:tentative="0">
      <w:start w:val="1"/>
      <w:numFmt w:val="chineseCounting"/>
      <w:suff w:val="nothing"/>
      <w:lvlText w:val="%1、"/>
      <w:lvlJc w:val="left"/>
      <w:rPr>
        <w:rFonts w:hint="eastAsia"/>
      </w:rPr>
    </w:lvl>
  </w:abstractNum>
  <w:abstractNum w:abstractNumId="1">
    <w:nsid w:val="D3276678"/>
    <w:multiLevelType w:val="singleLevel"/>
    <w:tmpl w:val="D3276678"/>
    <w:lvl w:ilvl="0" w:tentative="0">
      <w:start w:val="1"/>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OWIxNjdjMDlkOTg0ZDllNGUwMjk5YTFjODJiM2YifQ=="/>
  </w:docVars>
  <w:rsids>
    <w:rsidRoot w:val="00000000"/>
    <w:rsid w:val="045744CF"/>
    <w:rsid w:val="04E81B1A"/>
    <w:rsid w:val="05852C9D"/>
    <w:rsid w:val="070F6FC3"/>
    <w:rsid w:val="08EE0200"/>
    <w:rsid w:val="0D086B6F"/>
    <w:rsid w:val="0D583AF2"/>
    <w:rsid w:val="0DA46170"/>
    <w:rsid w:val="10D65E88"/>
    <w:rsid w:val="152143B8"/>
    <w:rsid w:val="195B27C3"/>
    <w:rsid w:val="1A8847A9"/>
    <w:rsid w:val="1D5907B5"/>
    <w:rsid w:val="1F612DFC"/>
    <w:rsid w:val="201E31F4"/>
    <w:rsid w:val="204F1D62"/>
    <w:rsid w:val="230B6D1D"/>
    <w:rsid w:val="23D55285"/>
    <w:rsid w:val="269F5F61"/>
    <w:rsid w:val="2A874355"/>
    <w:rsid w:val="2A993FA9"/>
    <w:rsid w:val="2C0B1008"/>
    <w:rsid w:val="2C3D4E8E"/>
    <w:rsid w:val="304A33EE"/>
    <w:rsid w:val="34183C0D"/>
    <w:rsid w:val="37102B66"/>
    <w:rsid w:val="380E3411"/>
    <w:rsid w:val="38866017"/>
    <w:rsid w:val="3AF5659F"/>
    <w:rsid w:val="3C620896"/>
    <w:rsid w:val="406B713F"/>
    <w:rsid w:val="47F94618"/>
    <w:rsid w:val="484C72AA"/>
    <w:rsid w:val="4C9E454B"/>
    <w:rsid w:val="4CFD1FA0"/>
    <w:rsid w:val="4DF276D6"/>
    <w:rsid w:val="4EC254B1"/>
    <w:rsid w:val="4FA81D02"/>
    <w:rsid w:val="50A01365"/>
    <w:rsid w:val="50F43B57"/>
    <w:rsid w:val="52892C12"/>
    <w:rsid w:val="54581BF7"/>
    <w:rsid w:val="56D32876"/>
    <w:rsid w:val="58652D88"/>
    <w:rsid w:val="63E765DE"/>
    <w:rsid w:val="66834ABD"/>
    <w:rsid w:val="668A353D"/>
    <w:rsid w:val="673B646A"/>
    <w:rsid w:val="68266486"/>
    <w:rsid w:val="6A9D6A73"/>
    <w:rsid w:val="6C037DFF"/>
    <w:rsid w:val="6C1860C9"/>
    <w:rsid w:val="6F3A3A9F"/>
    <w:rsid w:val="6F3C41C3"/>
    <w:rsid w:val="71A16BBB"/>
    <w:rsid w:val="76B34DC5"/>
    <w:rsid w:val="772E0594"/>
    <w:rsid w:val="77532D52"/>
    <w:rsid w:val="78BB48A3"/>
    <w:rsid w:val="78E12416"/>
    <w:rsid w:val="790F326D"/>
    <w:rsid w:val="7A2B7F7C"/>
    <w:rsid w:val="7B5A6470"/>
    <w:rsid w:val="7BDE6F89"/>
    <w:rsid w:val="7DC00DD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普通(网站) Char"/>
    <w:basedOn w:val="1"/>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5.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Props1.xml><?xml version="1.0" encoding="utf-8"?>
<ds:datastoreItem xmlns:ds="http://schemas.openxmlformats.org/officeDocument/2006/customXml" ds:itemID="{94f2ccb9-9e31-4229-88ab-03f4984b4ae3}">
  <ds:schemaRefs/>
</ds:datastoreItem>
</file>

<file path=customXml/itemProps2.xml><?xml version="1.0" encoding="utf-8"?>
<ds:datastoreItem xmlns:ds="http://schemas.openxmlformats.org/officeDocument/2006/customXml" ds:itemID="{2260f45f-d8f9-4516-89b5-fe40ec7eae30}">
  <ds:schemaRefs/>
</ds:datastoreItem>
</file>

<file path=customXml/itemProps3.xml><?xml version="1.0" encoding="utf-8"?>
<ds:datastoreItem xmlns:ds="http://schemas.openxmlformats.org/officeDocument/2006/customXml" ds:itemID="{d610737c-44c7-4e10-adc1-968b33334909}">
  <ds:schemaRefs/>
</ds:datastoreItem>
</file>

<file path=customXml/itemProps4.xml><?xml version="1.0" encoding="utf-8"?>
<ds:datastoreItem xmlns:ds="http://schemas.openxmlformats.org/officeDocument/2006/customXml" ds:itemID="{ada5e558-ee03-4d15-a537-3c576b3ce581}">
  <ds:schemaRefs/>
</ds:datastoreItem>
</file>

<file path=customXml/itemProps5.xml><?xml version="1.0" encoding="utf-8"?>
<ds:datastoreItem xmlns:ds="http://schemas.openxmlformats.org/officeDocument/2006/customXml" ds:itemID="{8c65a878-e2c0-4898-a054-dfe2e3d0faa0}">
  <ds:schemaRefs/>
</ds:datastoreItem>
</file>

<file path=customXml/itemProps6.xml><?xml version="1.0" encoding="utf-8"?>
<ds:datastoreItem xmlns:ds="http://schemas.openxmlformats.org/officeDocument/2006/customXml" ds:itemID="{5c9a335f-83ff-495b-83f0-cc2ad617efd1}">
  <ds:schemaRefs/>
</ds:datastoreItem>
</file>

<file path=customXml/itemProps7.xml><?xml version="1.0" encoding="utf-8"?>
<ds:datastoreItem xmlns:ds="http://schemas.openxmlformats.org/officeDocument/2006/customXml" ds:itemID="{907b0628-dfe1-4826-bfc7-f60262fe626e}">
  <ds:schemaRefs/>
</ds:datastoreItem>
</file>

<file path=customXml/itemProps8.xml><?xml version="1.0" encoding="utf-8"?>
<ds:datastoreItem xmlns:ds="http://schemas.openxmlformats.org/officeDocument/2006/customXml" ds:itemID="{427d1d25-6386-4c5c-abae-32aae1fba0cf}">
  <ds:schemaRefs/>
</ds:datastoreItem>
</file>

<file path=customXml/itemProps9.xml><?xml version="1.0" encoding="utf-8"?>
<ds:datastoreItem xmlns:ds="http://schemas.openxmlformats.org/officeDocument/2006/customXml" ds:itemID="{e6bcde4b-9530-4fe1-ad4b-bc6f4792938e}">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47</TotalTime>
  <ScaleCrop>false</ScaleCrop>
  <LinksUpToDate>false</LinksUpToDate>
  <CharactersWithSpaces>13626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鸣~</cp:lastModifiedBy>
  <dcterms:modified xsi:type="dcterms:W3CDTF">2023-08-22T03:46:55Z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459D10AE208845BE8B3749F60DFCA812</vt:lpwstr>
  </property>
</Properties>
</file>